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税务专业基础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考试科目代码：[433]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考试科目名称：税务专业基础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本考试大纲依据《全国税务硕士专业学位研究生入学考试大纲》的要求制定。本考试旨在考察考生对税收基本理论、税收法律和法规以及主要税收政策的掌握程度，并能体现考生对税收法理精神的理解和税法具体运用的延伸。根据《全国税务硕士研究生入学考试专业科目命题工作指引》要求，考试内容包括税收基本理论、中国税制、国际税收和税收征收管理四部分；考试中简易题、中等题、高难题的安排大体比例为50%:40%:10%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1、简答题： 约40分；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2、计算分析题： 约40分；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3、案例分析题：约20分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3、论述题：约50分。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（一）税收基本理论部分，30%（约45分）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1、税收概念与税收三性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2、税收制度、税制要素与税制结构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3、税税收立法与我国税法体系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4、税收原则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5、税收分类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6、税收负担、税负转嫁与归宿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7、税收效应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8、国际税收关系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（二）中国税制部分，40%（约60分）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1、增值税法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征税范围与纳税义务人、一般纳税人和小规模纳税人、税率与征收率、增值税的计税方法、一般计税方法应纳税额的计算、简易征税方法应纳税额的计算、进口环节增值税的征收、出口和跨境业务增值税的退税和征税、税收优惠、征收管理、增值税发票的使用及管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 掌握增值税相关概念；熟悉增值税税率、计税方法；了解增值税征收、出口退税、税收优惠政策；了解增值税征收管理、发票使用与管理；了解增值税政策最新变化及政策影响等。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2、消费税法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（1）考试范围：纳税义务人与税目税率、计税依据、应纳税额的计算、征收管理。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（2）考试要求：熟悉消费税纳税义务人范围、税目、税率和计税依据等；掌握消费税应纳税额计算；了解消费税征收管理；了解消费税政策最新变化及政策影响等；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3、企业所得税法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（1）考试范围：纳税义务人、征税对象与税率、应纳税所得额、资产的税务处理、资产损失的所得税处理、企业重组的所得税处理、税收优惠、应纳税额的计算、征收管理。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企业所得税的纳税义务人范围、征税对象、税率；掌握企业所得税的应纳所得额的确定、应纳税额的计算；了解资产的税务处理、资产损失的所得税处理、企业重组的所得税处理；了解企业所得税税收优惠和征收管理；了解企业所得税政策最新动态及政策影响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4、个人所得税法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（1）考试范围：纳税义务人与征税范围、税率与应纳税所得额的确定、税收优惠、境外所得的税额扣除、应纳税额的计算、应纳税额计算中的特殊问题处理、征收管理。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（2）考试要求：熟悉个人所得税纳税义务人、征税范围、税率；掌握个人所得税应纳税所得额的确定、应纳税额计算；了解应纳税额计算中的特殊问题处理和征收管理；了解个人所得税政策最新动态及政策效果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5、城市维护建设税法和烟叶税法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（1）考试范围：城市维护建设税法、烟叶税法、教育费附加和地方教育附加。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（2）考试要求：熟悉和掌握城市维护建设、烟叶税、教育费附加和地方教育费附加的税率、税额计算等。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6、关税法和船舶吨税法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（1）考试范围：征税对象与纳税义务人、进出口税则、完税价格与应纳税额的计算、减免规定、征收管理、船舶吨税法。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（2）考试要求：熟悉和掌握关税和船舶吨税的相关概念和法律规定等。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7、资源税法和环境保护税法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（1）考试范围：资源税法、环境保护税法。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（2）考试要求：熟悉和掌握资源税和环境保护税基本概念、税率、税收政策变化及政策影响等。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8、城镇土地使用税法和耕地占用税法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（1）考试范围：城镇土地使用税法、耕地占用税法。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（2）考试要求：熟悉和掌握城镇土地使用税和耕地占用税的基本概念、税率、税收政策变化及政策影响等。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9、房产税法、契税法和土地增值税法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（1）考试范围：房产税法、契税法、土地增值税法。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（2）考试要求：房产税、契税和土地增值税法的基本规定，税收政策变化及政策效果等。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10、车辆购置税法、车船税法和印花税法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（1）考试范围：车辆购置税法、车船税法、印花税法。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（2）考试要求：车辆购置税法、车船税法、印花税法基本规定等。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（三）国际税收部分15%（约22.5分）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1.考试范围：国际税收协定、非居民企业税收管理、境外所得税收管理、国际反避税、转让定价税务管理、国际税收征管合作。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2.考试要求：熟悉和掌握基本概念和相关法律基本规定；了解国际税收国际国内改革动态、改革意义和改革影响等。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（四）税收征收管理部分15%（约22.5分）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1、税收征收管理法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（1）考试范围：税务管理、税款征收、税务检查、法律责任、纳税担保和抵押、纳税信用管理。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（2）考试要求：熟悉和掌握税收征管法的基本概念和基本规定；了解税收征管法实施存在问题、税收征管法改革、改革意义及改革影响等。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2、税务行政法制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（1）考试范围：税务行政处罚、税务行政复议、税务行政诉讼。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（2）考试要求：熟悉和掌握税务行政法的相关概念和基本规定等。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1、全国税务专业学位研究生教育指导委员会指定大纲；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2、中国注册会计师协会，2023年注册会计师全国统一考试辅导教材《税法》，中国财政经济出版社2023年版；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3、《税收学》，黄桦、王怡璞，中国人民大学出版社，2022年，第六版。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11DE615B"/>
    <w:rsid w:val="1A196722"/>
    <w:rsid w:val="2A15310C"/>
    <w:rsid w:val="661D3289"/>
    <w:rsid w:val="70736458"/>
    <w:rsid w:val="7C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E2075C61D687462C99E5322D7C18F282_13</vt:lpwstr>
  </property>
</Properties>
</file>