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000000"/>
          <w:spacing w:val="20"/>
          <w:sz w:val="36"/>
        </w:rPr>
      </w:pPr>
      <w:r>
        <w:rPr>
          <w:rFonts w:eastAsia="黑体"/>
          <w:color w:val="000000"/>
          <w:spacing w:val="20"/>
          <w:sz w:val="36"/>
        </w:rPr>
        <w:t>旅游管理硕士125400</w:t>
      </w:r>
    </w:p>
    <w:p>
      <w:pPr>
        <w:rPr>
          <w:b/>
          <w:color w:val="000000"/>
          <w:sz w:val="24"/>
        </w:rPr>
      </w:pPr>
    </w:p>
    <w:p>
      <w:pPr>
        <w:rPr>
          <w:bCs/>
          <w:color w:val="000000"/>
          <w:sz w:val="24"/>
        </w:rPr>
      </w:pPr>
      <w:r>
        <w:rPr>
          <w:b/>
          <w:color w:val="000000"/>
          <w:sz w:val="24"/>
        </w:rPr>
        <w:t>学科点简介：</w:t>
      </w:r>
      <w:r>
        <w:rPr>
          <w:bCs/>
          <w:color w:val="000000"/>
          <w:sz w:val="24"/>
        </w:rPr>
        <w:t>旅游管理专业硕士（MTA）是与MBA和MPA并列的管理类专业硕士</w:t>
      </w:r>
      <w:r>
        <w:rPr>
          <w:rFonts w:hint="eastAsia"/>
          <w:bCs/>
          <w:color w:val="000000"/>
          <w:sz w:val="24"/>
        </w:rPr>
        <w:t>。</w:t>
      </w:r>
      <w:r>
        <w:rPr>
          <w:bCs/>
          <w:color w:val="000000"/>
          <w:sz w:val="24"/>
        </w:rPr>
        <w:t>广东财经大学是广东省开展MTA教育的</w:t>
      </w:r>
      <w:r>
        <w:rPr>
          <w:rFonts w:hint="eastAsia"/>
          <w:bCs/>
          <w:color w:val="000000"/>
          <w:sz w:val="24"/>
        </w:rPr>
        <w:t>四</w:t>
      </w:r>
      <w:r>
        <w:rPr>
          <w:bCs/>
          <w:color w:val="000000"/>
          <w:sz w:val="24"/>
        </w:rPr>
        <w:t>所骨干高等院校之一</w:t>
      </w:r>
      <w:r>
        <w:rPr>
          <w:rFonts w:hint="eastAsia"/>
          <w:bCs/>
          <w:color w:val="000000"/>
          <w:sz w:val="24"/>
        </w:rPr>
        <w:t>，其</w:t>
      </w:r>
      <w:r>
        <w:rPr>
          <w:bCs/>
          <w:color w:val="000000"/>
          <w:sz w:val="24"/>
        </w:rPr>
        <w:t>旅游类高等教育始于1990年，2007年旅游管理学科获得广东省重点（扶持）学科，</w:t>
      </w:r>
      <w:r>
        <w:rPr>
          <w:color w:val="000000"/>
          <w:sz w:val="24"/>
        </w:rPr>
        <w:t>2016年成为广东省一级优势重点学科工商管理学科的重要方向之一。广东财经大学MTA教育中心师资力量雄厚，拥有</w:t>
      </w:r>
      <w:r>
        <w:rPr>
          <w:rFonts w:hint="eastAsia"/>
          <w:color w:val="000000"/>
          <w:sz w:val="24"/>
        </w:rPr>
        <w:t>理论</w:t>
      </w:r>
      <w:r>
        <w:rPr>
          <w:color w:val="000000"/>
          <w:sz w:val="24"/>
        </w:rPr>
        <w:t>导师31名，其中教授10人，副教授</w:t>
      </w:r>
      <w:r>
        <w:rPr>
          <w:rFonts w:hint="eastAsia"/>
          <w:color w:val="000000"/>
          <w:sz w:val="24"/>
        </w:rPr>
        <w:t>1</w:t>
      </w:r>
      <w:r>
        <w:rPr>
          <w:color w:val="000000"/>
          <w:sz w:val="24"/>
        </w:rPr>
        <w:t>3人</w:t>
      </w:r>
      <w:r>
        <w:rPr>
          <w:rFonts w:hint="eastAsia"/>
          <w:color w:val="000000"/>
          <w:sz w:val="24"/>
        </w:rPr>
        <w:t>，</w:t>
      </w:r>
      <w:r>
        <w:rPr>
          <w:color w:val="000000"/>
          <w:sz w:val="24"/>
        </w:rPr>
        <w:t>另有</w:t>
      </w:r>
      <w:r>
        <w:rPr>
          <w:rFonts w:hint="eastAsia"/>
          <w:color w:val="000000"/>
          <w:sz w:val="24"/>
        </w:rPr>
        <w:t>27</w:t>
      </w:r>
      <w:r>
        <w:rPr>
          <w:color w:val="000000"/>
          <w:sz w:val="24"/>
        </w:rPr>
        <w:t>名校外</w:t>
      </w:r>
      <w:r>
        <w:rPr>
          <w:rFonts w:hint="eastAsia"/>
          <w:color w:val="000000"/>
          <w:sz w:val="24"/>
        </w:rPr>
        <w:t>实践</w:t>
      </w:r>
      <w:r>
        <w:rPr>
          <w:color w:val="000000"/>
          <w:sz w:val="24"/>
        </w:rPr>
        <w:t>导师。</w:t>
      </w:r>
      <w:r>
        <w:rPr>
          <w:bCs/>
          <w:color w:val="000000"/>
          <w:sz w:val="24"/>
        </w:rPr>
        <w:t>目前具有研究生和本科生两个层次。本科有旅游管理、酒店管理、会展经济与管理三个专业，开办时间分别为1994、2006和2007年。研究生层次方面：旅游管理学术硕士学位授权点于2006年获得批准，并于2007年正式招生；旅游管理专业硕士（MTA）于2018年获得批准，并于2019年正式招生</w:t>
      </w:r>
      <w:r>
        <w:rPr>
          <w:rFonts w:hint="eastAsia"/>
          <w:bCs/>
          <w:color w:val="000000"/>
          <w:sz w:val="24"/>
        </w:rPr>
        <w:t>。</w:t>
      </w:r>
      <w:r>
        <w:rPr>
          <w:bCs/>
          <w:color w:val="000000"/>
          <w:sz w:val="24"/>
        </w:rPr>
        <w:t>至此广东财经大学旅游管理学科建立了相对完整的办学体系，办学实力也</w:t>
      </w:r>
      <w:bookmarkStart w:id="2" w:name="_GoBack"/>
      <w:bookmarkEnd w:id="2"/>
      <w:r>
        <w:rPr>
          <w:bCs/>
          <w:color w:val="000000"/>
          <w:sz w:val="24"/>
        </w:rPr>
        <w:t>得到了彰显。2011年，受广</w:t>
      </w:r>
      <w:r>
        <w:rPr>
          <w:bCs/>
          <w:sz w:val="24"/>
        </w:rPr>
        <w:t>州市旅游局</w:t>
      </w:r>
      <w:r>
        <w:rPr>
          <w:bCs/>
          <w:color w:val="000000"/>
          <w:sz w:val="24"/>
        </w:rPr>
        <w:t>委托，</w:t>
      </w:r>
      <w:r>
        <w:rPr>
          <w:rFonts w:hint="eastAsia"/>
          <w:bCs/>
          <w:color w:val="000000"/>
          <w:sz w:val="24"/>
        </w:rPr>
        <w:t>文化旅游与地理</w:t>
      </w:r>
      <w:r>
        <w:rPr>
          <w:bCs/>
          <w:color w:val="000000"/>
          <w:sz w:val="24"/>
        </w:rPr>
        <w:t>学院为广州市处级以上旅游管理干部举办了培训班。近年来，旅游管理学科十分注重校企合作、校政合作，与中国</w:t>
      </w:r>
      <w:r>
        <w:rPr>
          <w:bCs/>
          <w:sz w:val="24"/>
        </w:rPr>
        <w:t>进</w:t>
      </w:r>
      <w:r>
        <w:rPr>
          <w:bCs/>
          <w:color w:val="000000"/>
          <w:sz w:val="24"/>
        </w:rPr>
        <w:t>出口商品交易会、白云国际会议中心</w:t>
      </w:r>
      <w:r>
        <w:rPr>
          <w:rFonts w:hint="eastAsia"/>
          <w:bCs/>
          <w:color w:val="000000"/>
          <w:sz w:val="24"/>
        </w:rPr>
        <w:t>、</w:t>
      </w:r>
      <w:r>
        <w:rPr>
          <w:bCs/>
          <w:color w:val="000000"/>
          <w:sz w:val="24"/>
        </w:rPr>
        <w:t>广之旅、花城文旅</w:t>
      </w:r>
      <w:r>
        <w:rPr>
          <w:rFonts w:hint="eastAsia"/>
          <w:bCs/>
          <w:color w:val="000000"/>
          <w:sz w:val="24"/>
        </w:rPr>
        <w:t>、</w:t>
      </w:r>
      <w:r>
        <w:rPr>
          <w:bCs/>
          <w:color w:val="000000"/>
          <w:sz w:val="24"/>
        </w:rPr>
        <w:t>长隆旅游度假区、深圳锦绣中华</w:t>
      </w:r>
      <w:r>
        <w:rPr>
          <w:rFonts w:hint="eastAsia"/>
          <w:bCs/>
          <w:color w:val="000000"/>
          <w:sz w:val="24"/>
        </w:rPr>
        <w:t>、</w:t>
      </w:r>
      <w:r>
        <w:rPr>
          <w:bCs/>
          <w:color w:val="000000"/>
          <w:sz w:val="24"/>
        </w:rPr>
        <w:t>广州四季酒店、威斯汀酒店、广州W酒店、富力君悦酒店、</w:t>
      </w:r>
      <w:r>
        <w:rPr>
          <w:rFonts w:hint="eastAsia"/>
          <w:bCs/>
          <w:color w:val="000000"/>
          <w:sz w:val="24"/>
        </w:rPr>
        <w:t>丽兹</w:t>
      </w:r>
      <w:r>
        <w:rPr>
          <w:bCs/>
          <w:color w:val="000000"/>
          <w:sz w:val="24"/>
        </w:rPr>
        <w:t>·卡尔顿等国内多家著名企事业单位建立了良好的协作关系，也为广东省内许多地方政府以及相邻省份广西、湖南、海南等开展景区规划、旅游策划、乡村旅游与民宿规划、产业调研与布局、文旅小镇规划等提供社会服务。</w:t>
      </w:r>
    </w:p>
    <w:p>
      <w:pPr>
        <w:rPr>
          <w:b/>
          <w:bCs/>
          <w:color w:val="000000"/>
          <w:sz w:val="24"/>
        </w:rPr>
      </w:pPr>
    </w:p>
    <w:p>
      <w:pPr>
        <w:rPr>
          <w:color w:val="000000"/>
          <w:sz w:val="24"/>
        </w:rPr>
      </w:pPr>
      <w:r>
        <w:rPr>
          <w:b/>
          <w:bCs/>
          <w:color w:val="000000"/>
          <w:sz w:val="24"/>
        </w:rPr>
        <w:t>培养目标：</w:t>
      </w:r>
      <w:r>
        <w:rPr>
          <w:color w:val="000000"/>
          <w:sz w:val="24"/>
        </w:rPr>
        <w:t>本专业采取多元化的人才培养方式，</w:t>
      </w:r>
      <w:r>
        <w:rPr>
          <w:rFonts w:hint="eastAsia"/>
          <w:color w:val="000000"/>
          <w:sz w:val="24"/>
        </w:rPr>
        <w:t>旨在</w:t>
      </w:r>
      <w:r>
        <w:rPr>
          <w:color w:val="000000"/>
          <w:sz w:val="24"/>
        </w:rPr>
        <w:t>培养全面发展，系统掌握旅游管理的理论与方法，并具创新精神、实践能力和良好职业道德，能在旅游行政管理、旅游企业经营管理、会展企业管理</w:t>
      </w:r>
      <w:r>
        <w:rPr>
          <w:rFonts w:hint="eastAsia"/>
          <w:color w:val="000000"/>
          <w:sz w:val="24"/>
        </w:rPr>
        <w:t>、</w:t>
      </w:r>
      <w:r>
        <w:rPr>
          <w:color w:val="000000"/>
          <w:sz w:val="24"/>
        </w:rPr>
        <w:t>酒店企业管理和旅游教学与科研工作中有更高突破的中高级专门人才。本专业</w:t>
      </w:r>
      <w:r>
        <w:rPr>
          <w:color w:val="000000"/>
          <w:sz w:val="24"/>
          <w:szCs w:val="24"/>
          <w:shd w:val="clear" w:color="auto" w:fill="FFFFFF"/>
        </w:rPr>
        <w:t>以在职人员为教育对象，以培养旅游行业管理精英为目标，兼为业界人士提供有助于提升管理运作能力、丰富人脉网络、</w:t>
      </w:r>
      <w:r>
        <w:rPr>
          <w:rFonts w:hint="eastAsia"/>
          <w:color w:val="000000"/>
          <w:sz w:val="24"/>
          <w:szCs w:val="24"/>
          <w:shd w:val="clear" w:color="auto" w:fill="FFFFFF"/>
        </w:rPr>
        <w:t>推进</w:t>
      </w:r>
      <w:r>
        <w:rPr>
          <w:color w:val="000000"/>
          <w:sz w:val="24"/>
          <w:szCs w:val="24"/>
          <w:shd w:val="clear" w:color="auto" w:fill="FFFFFF"/>
        </w:rPr>
        <w:t>事业成功的平台。</w:t>
      </w:r>
    </w:p>
    <w:p>
      <w:pPr>
        <w:rPr>
          <w:rFonts w:hint="eastAsia"/>
          <w:b/>
          <w:color w:val="000000"/>
          <w:sz w:val="24"/>
        </w:rPr>
      </w:pPr>
    </w:p>
    <w:p>
      <w:pPr>
        <w:widowControl/>
        <w:rPr>
          <w:rFonts w:hint="eastAsia"/>
          <w:bCs/>
          <w:color w:val="000000"/>
          <w:sz w:val="24"/>
          <w:szCs w:val="22"/>
        </w:rPr>
      </w:pPr>
      <w:r>
        <w:rPr>
          <w:b/>
          <w:color w:val="000000"/>
          <w:sz w:val="24"/>
        </w:rPr>
        <w:t>主要课程：</w:t>
      </w:r>
      <w:r>
        <w:rPr>
          <w:bCs/>
          <w:color w:val="000000"/>
          <w:sz w:val="24"/>
          <w:szCs w:val="22"/>
        </w:rPr>
        <w:t>旅游产业经济分析、</w:t>
      </w:r>
      <w:r>
        <w:rPr>
          <w:bCs/>
          <w:sz w:val="24"/>
          <w:szCs w:val="22"/>
        </w:rPr>
        <w:t>旅游规划与</w:t>
      </w:r>
      <w:r>
        <w:rPr>
          <w:rFonts w:hint="eastAsia"/>
          <w:bCs/>
          <w:sz w:val="24"/>
          <w:szCs w:val="22"/>
        </w:rPr>
        <w:t>战略管理</w:t>
      </w:r>
      <w:r>
        <w:rPr>
          <w:bCs/>
          <w:color w:val="000000"/>
          <w:sz w:val="24"/>
          <w:szCs w:val="22"/>
        </w:rPr>
        <w:t>、服务运营</w:t>
      </w:r>
      <w:r>
        <w:rPr>
          <w:rFonts w:hint="eastAsia"/>
          <w:bCs/>
          <w:color w:val="000000"/>
          <w:sz w:val="24"/>
          <w:szCs w:val="22"/>
        </w:rPr>
        <w:t>与</w:t>
      </w:r>
      <w:r>
        <w:rPr>
          <w:bCs/>
          <w:color w:val="000000"/>
          <w:sz w:val="24"/>
          <w:szCs w:val="22"/>
        </w:rPr>
        <w:t>管理、旅游目的地开发与管理</w:t>
      </w:r>
      <w:r>
        <w:rPr>
          <w:rFonts w:hint="eastAsia"/>
          <w:bCs/>
          <w:color w:val="000000"/>
          <w:sz w:val="24"/>
          <w:szCs w:val="22"/>
        </w:rPr>
        <w:t>、</w:t>
      </w:r>
      <w:r>
        <w:rPr>
          <w:bCs/>
          <w:color w:val="000000"/>
          <w:sz w:val="24"/>
          <w:szCs w:val="22"/>
        </w:rPr>
        <w:t>旅游营销、旅游投资与财务管理、</w:t>
      </w:r>
      <w:r>
        <w:rPr>
          <w:bCs/>
          <w:sz w:val="24"/>
          <w:szCs w:val="22"/>
        </w:rPr>
        <w:t>旅游</w:t>
      </w:r>
      <w:r>
        <w:rPr>
          <w:rFonts w:hint="eastAsia"/>
          <w:bCs/>
          <w:sz w:val="24"/>
          <w:szCs w:val="22"/>
        </w:rPr>
        <w:t>信息系统</w:t>
      </w:r>
      <w:r>
        <w:rPr>
          <w:bCs/>
          <w:color w:val="000000"/>
          <w:sz w:val="24"/>
          <w:szCs w:val="22"/>
        </w:rPr>
        <w:t>、</w:t>
      </w:r>
      <w:r>
        <w:rPr>
          <w:rFonts w:hint="eastAsia"/>
          <w:bCs/>
          <w:color w:val="000000"/>
          <w:sz w:val="24"/>
          <w:szCs w:val="22"/>
        </w:rPr>
        <w:t>旅游研究方法</w:t>
      </w:r>
      <w:r>
        <w:rPr>
          <w:bCs/>
          <w:color w:val="000000"/>
          <w:sz w:val="24"/>
          <w:szCs w:val="22"/>
        </w:rPr>
        <w:t>、旅游企业战略管理、</w:t>
      </w:r>
      <w:r>
        <w:rPr>
          <w:bCs/>
          <w:sz w:val="24"/>
          <w:szCs w:val="22"/>
        </w:rPr>
        <w:t>会展与节事活动运营管理</w:t>
      </w:r>
      <w:r>
        <w:rPr>
          <w:rFonts w:hint="eastAsia"/>
          <w:bCs/>
          <w:color w:val="000000"/>
          <w:sz w:val="24"/>
          <w:szCs w:val="22"/>
        </w:rPr>
        <w:t>、粤港澳大湾区旅游业研究等。</w:t>
      </w:r>
    </w:p>
    <w:p>
      <w:pPr>
        <w:widowControl/>
        <w:rPr>
          <w:bCs/>
          <w:color w:val="000000"/>
          <w:sz w:val="24"/>
          <w:szCs w:val="22"/>
        </w:rPr>
      </w:pPr>
    </w:p>
    <w:p>
      <w:pPr>
        <w:rPr>
          <w:bCs/>
          <w:color w:val="000000"/>
          <w:sz w:val="24"/>
          <w:highlight w:val="yellow"/>
        </w:rPr>
      </w:pPr>
      <w:r>
        <w:rPr>
          <w:b/>
          <w:color w:val="000000"/>
          <w:sz w:val="24"/>
        </w:rPr>
        <w:t>就业方向：</w:t>
      </w:r>
      <w:r>
        <w:rPr>
          <w:bCs/>
          <w:color w:val="000000"/>
          <w:sz w:val="24"/>
        </w:rPr>
        <w:t>本专业方向学生培养方式为全日制培养，就业以</w:t>
      </w:r>
      <w:r>
        <w:rPr>
          <w:rFonts w:hint="eastAsia"/>
          <w:bCs/>
          <w:color w:val="000000"/>
          <w:sz w:val="24"/>
        </w:rPr>
        <w:t>面向粤港澳大湾区旅游企业专业技术和管理，世界遗产地、温泉旅游地、城市旅游地、主题公园及旅游综合体等旅游目的地高级管理部门，政府管理部门，</w:t>
      </w:r>
      <w:r>
        <w:rPr>
          <w:bCs/>
          <w:color w:val="000000"/>
          <w:sz w:val="24"/>
        </w:rPr>
        <w:t>教学科研单位等方向。</w:t>
      </w:r>
    </w:p>
    <w:p>
      <w:pPr>
        <w:rPr>
          <w:b/>
          <w:color w:val="000000"/>
          <w:sz w:val="24"/>
        </w:rPr>
      </w:pPr>
    </w:p>
    <w:p>
      <w:pPr>
        <w:rPr>
          <w:b/>
          <w:color w:val="000000"/>
          <w:sz w:val="24"/>
        </w:rPr>
      </w:pPr>
      <w:r>
        <w:rPr>
          <w:b/>
          <w:color w:val="000000"/>
          <w:sz w:val="24"/>
        </w:rPr>
        <w:t>专业代码：125400                                  咨询电话：020-84096389</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020"/>
        <w:gridCol w:w="270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753" w:type="dxa"/>
            <w:noWrap w:val="0"/>
            <w:vAlign w:val="center"/>
          </w:tcPr>
          <w:p>
            <w:pPr>
              <w:jc w:val="center"/>
              <w:rPr>
                <w:b/>
                <w:color w:val="000000"/>
                <w:sz w:val="24"/>
              </w:rPr>
            </w:pPr>
            <w:r>
              <w:rPr>
                <w:b/>
                <w:color w:val="000000"/>
                <w:sz w:val="24"/>
              </w:rPr>
              <w:t>序号</w:t>
            </w:r>
          </w:p>
        </w:tc>
        <w:tc>
          <w:tcPr>
            <w:tcW w:w="4020" w:type="dxa"/>
            <w:noWrap w:val="0"/>
            <w:vAlign w:val="center"/>
          </w:tcPr>
          <w:p>
            <w:pPr>
              <w:jc w:val="center"/>
              <w:rPr>
                <w:b/>
                <w:color w:val="000000"/>
                <w:sz w:val="24"/>
              </w:rPr>
            </w:pPr>
            <w:r>
              <w:rPr>
                <w:b/>
                <w:color w:val="000000"/>
                <w:sz w:val="24"/>
              </w:rPr>
              <w:t>研究方向</w:t>
            </w:r>
          </w:p>
        </w:tc>
        <w:tc>
          <w:tcPr>
            <w:tcW w:w="2706" w:type="dxa"/>
            <w:noWrap w:val="0"/>
            <w:vAlign w:val="center"/>
          </w:tcPr>
          <w:p>
            <w:pPr>
              <w:jc w:val="center"/>
              <w:rPr>
                <w:b/>
                <w:color w:val="000000"/>
                <w:sz w:val="24"/>
              </w:rPr>
            </w:pPr>
            <w:r>
              <w:rPr>
                <w:b/>
                <w:color w:val="000000"/>
                <w:sz w:val="24"/>
              </w:rPr>
              <w:t>初试科目</w:t>
            </w:r>
          </w:p>
        </w:tc>
        <w:tc>
          <w:tcPr>
            <w:tcW w:w="1418" w:type="dxa"/>
            <w:noWrap w:val="0"/>
            <w:vAlign w:val="center"/>
          </w:tcPr>
          <w:p>
            <w:pPr>
              <w:jc w:val="center"/>
              <w:rPr>
                <w:b/>
                <w:color w:val="000000"/>
                <w:sz w:val="24"/>
              </w:rPr>
            </w:pPr>
            <w:r>
              <w:rPr>
                <w:b/>
                <w:color w:val="000000"/>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2" w:hRule="atLeast"/>
        </w:trPr>
        <w:tc>
          <w:tcPr>
            <w:tcW w:w="753" w:type="dxa"/>
            <w:noWrap w:val="0"/>
            <w:vAlign w:val="center"/>
          </w:tcPr>
          <w:p>
            <w:pPr>
              <w:jc w:val="center"/>
              <w:rPr>
                <w:color w:val="000000"/>
                <w:sz w:val="24"/>
              </w:rPr>
            </w:pPr>
            <w:r>
              <w:rPr>
                <w:color w:val="000000"/>
                <w:sz w:val="24"/>
              </w:rPr>
              <w:t>1</w:t>
            </w:r>
          </w:p>
        </w:tc>
        <w:tc>
          <w:tcPr>
            <w:tcW w:w="4020" w:type="dxa"/>
            <w:noWrap w:val="0"/>
            <w:vAlign w:val="center"/>
          </w:tcPr>
          <w:p>
            <w:pPr>
              <w:rPr>
                <w:color w:val="000000"/>
                <w:sz w:val="24"/>
              </w:rPr>
            </w:pPr>
            <w:r>
              <w:rPr>
                <w:color w:val="000000"/>
                <w:sz w:val="24"/>
              </w:rPr>
              <w:t>旅游企业管理</w:t>
            </w:r>
          </w:p>
        </w:tc>
        <w:tc>
          <w:tcPr>
            <w:tcW w:w="2706" w:type="dxa"/>
            <w:vMerge w:val="restart"/>
            <w:noWrap w:val="0"/>
            <w:vAlign w:val="center"/>
          </w:tcPr>
          <w:p>
            <w:pPr>
              <w:rPr>
                <w:color w:val="000000"/>
                <w:sz w:val="24"/>
              </w:rPr>
            </w:pPr>
            <w:r>
              <w:rPr>
                <w:color w:val="000000"/>
                <w:sz w:val="24"/>
              </w:rPr>
              <w:t>（1）▲管理类联考综合能力（200分）</w:t>
            </w:r>
          </w:p>
          <w:p>
            <w:pPr>
              <w:rPr>
                <w:color w:val="000000"/>
                <w:sz w:val="24"/>
              </w:rPr>
            </w:pPr>
            <w:r>
              <w:rPr>
                <w:color w:val="000000"/>
                <w:sz w:val="24"/>
              </w:rPr>
              <w:t>（2）▲英语二（100分）</w:t>
            </w:r>
          </w:p>
        </w:tc>
        <w:tc>
          <w:tcPr>
            <w:tcW w:w="1418" w:type="dxa"/>
            <w:vMerge w:val="restart"/>
            <w:noWrap w:val="0"/>
            <w:vAlign w:val="center"/>
          </w:tcPr>
          <w:p>
            <w:pPr>
              <w:rPr>
                <w:color w:val="000000"/>
                <w:sz w:val="24"/>
              </w:rPr>
            </w:pPr>
            <w:r>
              <w:rPr>
                <w:color w:val="000000"/>
                <w:sz w:val="24"/>
              </w:rPr>
              <w:t>F537-旅游管理硕士综合素质考试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trPr>
        <w:tc>
          <w:tcPr>
            <w:tcW w:w="753" w:type="dxa"/>
            <w:noWrap w:val="0"/>
            <w:vAlign w:val="center"/>
          </w:tcPr>
          <w:p>
            <w:pPr>
              <w:jc w:val="center"/>
              <w:rPr>
                <w:color w:val="000000"/>
                <w:sz w:val="24"/>
              </w:rPr>
            </w:pPr>
            <w:r>
              <w:rPr>
                <w:color w:val="000000"/>
                <w:sz w:val="24"/>
              </w:rPr>
              <w:t>2</w:t>
            </w:r>
          </w:p>
        </w:tc>
        <w:tc>
          <w:tcPr>
            <w:tcW w:w="4020" w:type="dxa"/>
            <w:noWrap w:val="0"/>
            <w:vAlign w:val="center"/>
          </w:tcPr>
          <w:p>
            <w:pPr>
              <w:rPr>
                <w:color w:val="000000"/>
                <w:sz w:val="24"/>
              </w:rPr>
            </w:pPr>
            <w:r>
              <w:rPr>
                <w:color w:val="000000"/>
                <w:sz w:val="24"/>
              </w:rPr>
              <w:t>旅游开发与规划</w:t>
            </w:r>
          </w:p>
        </w:tc>
        <w:tc>
          <w:tcPr>
            <w:tcW w:w="2706" w:type="dxa"/>
            <w:vMerge w:val="continue"/>
            <w:noWrap w:val="0"/>
            <w:vAlign w:val="center"/>
          </w:tcPr>
          <w:p>
            <w:pPr>
              <w:rPr>
                <w:b/>
                <w:color w:val="000000"/>
                <w:sz w:val="24"/>
              </w:rPr>
            </w:pPr>
          </w:p>
        </w:tc>
        <w:tc>
          <w:tcPr>
            <w:tcW w:w="1418" w:type="dxa"/>
            <w:vMerge w:val="continue"/>
            <w:noWrap w:val="0"/>
            <w:vAlign w:val="center"/>
          </w:tcPr>
          <w:p>
            <w:pP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trPr>
        <w:tc>
          <w:tcPr>
            <w:tcW w:w="753" w:type="dxa"/>
            <w:noWrap w:val="0"/>
            <w:vAlign w:val="center"/>
          </w:tcPr>
          <w:p>
            <w:pPr>
              <w:jc w:val="center"/>
              <w:rPr>
                <w:color w:val="000000"/>
                <w:sz w:val="24"/>
              </w:rPr>
            </w:pPr>
            <w:r>
              <w:rPr>
                <w:color w:val="000000"/>
                <w:sz w:val="24"/>
              </w:rPr>
              <w:t>3</w:t>
            </w:r>
          </w:p>
        </w:tc>
        <w:tc>
          <w:tcPr>
            <w:tcW w:w="4020" w:type="dxa"/>
            <w:noWrap w:val="0"/>
            <w:vAlign w:val="center"/>
          </w:tcPr>
          <w:p>
            <w:pPr>
              <w:rPr>
                <w:color w:val="000000"/>
                <w:sz w:val="24"/>
              </w:rPr>
            </w:pPr>
            <w:r>
              <w:rPr>
                <w:rFonts w:hint="eastAsia"/>
                <w:color w:val="000000"/>
                <w:sz w:val="24"/>
              </w:rPr>
              <w:t>旅游营销与目的地管理</w:t>
            </w:r>
          </w:p>
        </w:tc>
        <w:tc>
          <w:tcPr>
            <w:tcW w:w="2706" w:type="dxa"/>
            <w:vMerge w:val="continue"/>
            <w:noWrap w:val="0"/>
            <w:vAlign w:val="center"/>
          </w:tcPr>
          <w:p>
            <w:pPr>
              <w:rPr>
                <w:b/>
                <w:color w:val="000000"/>
                <w:sz w:val="24"/>
              </w:rPr>
            </w:pPr>
          </w:p>
        </w:tc>
        <w:tc>
          <w:tcPr>
            <w:tcW w:w="1418" w:type="dxa"/>
            <w:vMerge w:val="continue"/>
            <w:noWrap w:val="0"/>
            <w:vAlign w:val="center"/>
          </w:tcPr>
          <w:p>
            <w:pP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3" w:hRule="atLeast"/>
        </w:trPr>
        <w:tc>
          <w:tcPr>
            <w:tcW w:w="753" w:type="dxa"/>
            <w:noWrap w:val="0"/>
            <w:vAlign w:val="center"/>
          </w:tcPr>
          <w:p>
            <w:pPr>
              <w:jc w:val="center"/>
              <w:rPr>
                <w:sz w:val="24"/>
              </w:rPr>
            </w:pPr>
            <w:r>
              <w:rPr>
                <w:rFonts w:hint="eastAsia"/>
                <w:sz w:val="24"/>
              </w:rPr>
              <w:t>4</w:t>
            </w:r>
          </w:p>
        </w:tc>
        <w:tc>
          <w:tcPr>
            <w:tcW w:w="4020" w:type="dxa"/>
            <w:noWrap w:val="0"/>
            <w:vAlign w:val="center"/>
          </w:tcPr>
          <w:p>
            <w:pPr>
              <w:rPr>
                <w:sz w:val="24"/>
              </w:rPr>
            </w:pPr>
            <w:bookmarkStart w:id="0" w:name="OLE_LINK32"/>
            <w:bookmarkStart w:id="1" w:name="OLE_LINK31"/>
            <w:r>
              <w:rPr>
                <w:rFonts w:hint="eastAsia" w:ascii="宋体" w:hAnsi="宋体" w:cs="华文宋体"/>
                <w:sz w:val="24"/>
                <w:szCs w:val="24"/>
              </w:rPr>
              <w:t>会展经济与</w:t>
            </w:r>
            <w:r>
              <w:rPr>
                <w:rFonts w:ascii="宋体" w:hAnsi="宋体" w:cs="华文宋体"/>
                <w:sz w:val="24"/>
                <w:szCs w:val="24"/>
              </w:rPr>
              <w:t>节</w:t>
            </w:r>
            <w:r>
              <w:rPr>
                <w:rFonts w:hint="eastAsia" w:ascii="宋体" w:hAnsi="宋体" w:cs="华文宋体"/>
                <w:sz w:val="24"/>
                <w:szCs w:val="24"/>
              </w:rPr>
              <w:t>事</w:t>
            </w:r>
            <w:r>
              <w:rPr>
                <w:rFonts w:ascii="宋体" w:hAnsi="宋体" w:cs="华文宋体"/>
                <w:sz w:val="24"/>
                <w:szCs w:val="24"/>
              </w:rPr>
              <w:t>管理</w:t>
            </w:r>
            <w:bookmarkEnd w:id="0"/>
            <w:bookmarkEnd w:id="1"/>
          </w:p>
        </w:tc>
        <w:tc>
          <w:tcPr>
            <w:tcW w:w="2706" w:type="dxa"/>
            <w:vMerge w:val="continue"/>
            <w:noWrap w:val="0"/>
            <w:vAlign w:val="center"/>
          </w:tcPr>
          <w:p>
            <w:pPr>
              <w:rPr>
                <w:b/>
                <w:color w:val="000000"/>
                <w:sz w:val="24"/>
              </w:rPr>
            </w:pPr>
          </w:p>
        </w:tc>
        <w:tc>
          <w:tcPr>
            <w:tcW w:w="1418" w:type="dxa"/>
            <w:vMerge w:val="continue"/>
            <w:noWrap w:val="0"/>
            <w:vAlign w:val="center"/>
          </w:tcPr>
          <w:p>
            <w:pPr>
              <w:rPr>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7" w:hRule="atLeast"/>
        </w:trPr>
        <w:tc>
          <w:tcPr>
            <w:tcW w:w="753" w:type="dxa"/>
            <w:noWrap w:val="0"/>
            <w:vAlign w:val="center"/>
          </w:tcPr>
          <w:p>
            <w:pPr>
              <w:jc w:val="center"/>
              <w:rPr>
                <w:sz w:val="24"/>
              </w:rPr>
            </w:pPr>
            <w:r>
              <w:rPr>
                <w:rFonts w:hint="eastAsia"/>
                <w:sz w:val="24"/>
              </w:rPr>
              <w:t>5</w:t>
            </w:r>
          </w:p>
        </w:tc>
        <w:tc>
          <w:tcPr>
            <w:tcW w:w="4020" w:type="dxa"/>
            <w:noWrap w:val="0"/>
            <w:vAlign w:val="center"/>
          </w:tcPr>
          <w:p>
            <w:pPr>
              <w:rPr>
                <w:sz w:val="24"/>
              </w:rPr>
            </w:pPr>
            <w:r>
              <w:rPr>
                <w:rFonts w:hint="eastAsia"/>
                <w:sz w:val="24"/>
              </w:rPr>
              <w:t>数字文旅</w:t>
            </w:r>
          </w:p>
        </w:tc>
        <w:tc>
          <w:tcPr>
            <w:tcW w:w="2706" w:type="dxa"/>
            <w:vMerge w:val="continue"/>
            <w:noWrap w:val="0"/>
            <w:vAlign w:val="center"/>
          </w:tcPr>
          <w:p>
            <w:pPr>
              <w:rPr>
                <w:b/>
                <w:color w:val="000000"/>
                <w:sz w:val="24"/>
              </w:rPr>
            </w:pPr>
          </w:p>
        </w:tc>
        <w:tc>
          <w:tcPr>
            <w:tcW w:w="1418" w:type="dxa"/>
            <w:vMerge w:val="continue"/>
            <w:noWrap w:val="0"/>
            <w:vAlign w:val="center"/>
          </w:tcPr>
          <w:p>
            <w:pPr>
              <w:rPr>
                <w:b/>
                <w:color w:val="000000"/>
                <w:sz w:val="24"/>
              </w:rPr>
            </w:pPr>
          </w:p>
        </w:tc>
      </w:tr>
    </w:tbl>
    <w:p>
      <w:pPr>
        <w:rPr>
          <w:b/>
          <w:color w:val="000000"/>
          <w:sz w:val="24"/>
        </w:rPr>
      </w:pPr>
      <w:r>
        <w:rPr>
          <w:b/>
          <w:color w:val="000000"/>
          <w:sz w:val="24"/>
        </w:rPr>
        <w:t>▲表示统考科目或联考科目</w:t>
      </w:r>
      <w:r>
        <w:rPr>
          <w:rFonts w:hint="eastAsia"/>
          <w:b/>
          <w:color w:val="000000"/>
          <w:sz w:val="24"/>
        </w:rPr>
        <w:t>，</w:t>
      </w:r>
      <w:r>
        <w:rPr>
          <w:b/>
          <w:color w:val="000000"/>
          <w:sz w:val="24"/>
        </w:rPr>
        <w:t>考试题型、考试大纲以教育部公布为准，其他为自命题科目。</w:t>
      </w:r>
    </w:p>
    <w:p>
      <w:pPr>
        <w:snapToGrid w:val="0"/>
        <w:rPr>
          <w:b/>
          <w:color w:val="000000"/>
          <w:sz w:val="24"/>
        </w:rPr>
      </w:pPr>
    </w:p>
    <w:p>
      <w:pPr>
        <w:snapToGrid w:val="0"/>
        <w:rPr>
          <w:b/>
          <w:color w:val="000000"/>
          <w:sz w:val="24"/>
        </w:rPr>
      </w:pPr>
      <w:r>
        <w:rPr>
          <w:b/>
          <w:color w:val="000000"/>
          <w:sz w:val="24"/>
        </w:rPr>
        <w:t>考试科目、考试题型及相应分值</w:t>
      </w:r>
    </w:p>
    <w:p>
      <w:pPr>
        <w:snapToGrid w:val="0"/>
        <w:rPr>
          <w:color w:val="000000"/>
          <w:sz w:val="24"/>
        </w:rPr>
      </w:pPr>
      <w:r>
        <w:rPr>
          <w:rFonts w:eastAsia="楷体"/>
          <w:sz w:val="24"/>
        </w:rPr>
        <w:t xml:space="preserve"> </w:t>
      </w:r>
      <w:r>
        <w:rPr>
          <w:color w:val="000000"/>
          <w:sz w:val="24"/>
        </w:rPr>
        <w:t>《旅游管理硕士综合素质考试》</w:t>
      </w:r>
    </w:p>
    <w:p>
      <w:pPr>
        <w:snapToGrid w:val="0"/>
        <w:rPr>
          <w:color w:val="000000"/>
          <w:sz w:val="24"/>
        </w:rPr>
      </w:pPr>
      <w:r>
        <w:rPr>
          <w:color w:val="000000"/>
          <w:sz w:val="24"/>
        </w:rPr>
        <w:t>1.政治 100分</w:t>
      </w:r>
    </w:p>
    <w:p>
      <w:pPr>
        <w:snapToGrid w:val="0"/>
        <w:rPr>
          <w:color w:val="000000"/>
          <w:sz w:val="24"/>
        </w:rPr>
      </w:pPr>
      <w:r>
        <w:rPr>
          <w:color w:val="000000"/>
          <w:sz w:val="24"/>
        </w:rPr>
        <w:t>2.专业与情景化面试 200分</w:t>
      </w:r>
    </w:p>
    <w:p>
      <w:pPr>
        <w:snapToGrid w:val="0"/>
        <w:rPr>
          <w:color w:val="000000"/>
          <w:sz w:val="24"/>
        </w:rPr>
      </w:pPr>
      <w:r>
        <w:rPr>
          <w:color w:val="000000"/>
          <w:sz w:val="24"/>
        </w:rPr>
        <w:t>（1）</w:t>
      </w:r>
      <w:r>
        <w:rPr>
          <w:sz w:val="24"/>
          <w:szCs w:val="24"/>
        </w:rPr>
        <w:t>《外语》问答题50分</w:t>
      </w:r>
    </w:p>
    <w:p>
      <w:pPr>
        <w:snapToGrid w:val="0"/>
        <w:rPr>
          <w:color w:val="000000"/>
          <w:sz w:val="24"/>
        </w:rPr>
      </w:pPr>
      <w:r>
        <w:rPr>
          <w:color w:val="000000"/>
          <w:sz w:val="24"/>
        </w:rPr>
        <w:t>（2）</w:t>
      </w:r>
      <w:r>
        <w:rPr>
          <w:sz w:val="24"/>
          <w:szCs w:val="24"/>
        </w:rPr>
        <w:t xml:space="preserve">《综合素质》问答题150分 </w:t>
      </w:r>
    </w:p>
    <w:p>
      <w:pPr>
        <w:snapToGrid w:val="0"/>
        <w:rPr>
          <w:color w:val="000000"/>
          <w:sz w:val="24"/>
        </w:rPr>
      </w:pPr>
      <w:r>
        <w:rPr>
          <w:color w:val="000000"/>
          <w:sz w:val="24"/>
        </w:rPr>
        <w:t>3.无领导小组面试 100分</w:t>
      </w:r>
    </w:p>
    <w:p>
      <w:pPr>
        <w:snapToGrid w:val="0"/>
        <w:rPr>
          <w:b/>
          <w:color w:val="000000"/>
          <w:sz w:val="24"/>
        </w:rPr>
      </w:pPr>
    </w:p>
    <w:p>
      <w:pPr>
        <w:snapToGrid w:val="0"/>
        <w:rPr>
          <w:b/>
          <w:color w:val="000000"/>
          <w:sz w:val="24"/>
        </w:rPr>
      </w:pPr>
      <w:r>
        <w:rPr>
          <w:b/>
          <w:color w:val="000000"/>
          <w:sz w:val="24"/>
        </w:rPr>
        <w:t>考试大纲</w:t>
      </w:r>
    </w:p>
    <w:p>
      <w:pPr>
        <w:snapToGrid w:val="0"/>
        <w:ind w:firstLine="480"/>
        <w:rPr>
          <w:color w:val="000000"/>
          <w:sz w:val="24"/>
        </w:rPr>
      </w:pPr>
      <w:r>
        <w:rPr>
          <w:color w:val="000000"/>
          <w:sz w:val="24"/>
        </w:rPr>
        <w:t>1.《政治》（政治理论考试）：从复试试题中抽取题目，限时回答（2-3分钟），考察考生政治观点和政治敏感性。</w:t>
      </w:r>
    </w:p>
    <w:p>
      <w:pPr>
        <w:snapToGrid w:val="0"/>
        <w:rPr>
          <w:color w:val="000000"/>
          <w:sz w:val="24"/>
        </w:rPr>
      </w:pPr>
      <w:r>
        <w:rPr>
          <w:color w:val="000000"/>
          <w:sz w:val="24"/>
        </w:rPr>
        <w:t xml:space="preserve">    2.《专业与情景化面试》：考生从复试试题中抽取题目，限时回答（3-5分钟）。考察专业背景知识、语言表达能力、仪表举止行为、逻辑分析能力、判断决策能力、自我控制能力（心理成熟程度）、应变能力等。</w:t>
      </w:r>
    </w:p>
    <w:p>
      <w:pPr>
        <w:snapToGrid w:val="0"/>
        <w:rPr>
          <w:rFonts w:hint="eastAsia"/>
          <w:color w:val="000000"/>
          <w:sz w:val="24"/>
        </w:rPr>
      </w:pPr>
      <w:r>
        <w:rPr>
          <w:color w:val="000000"/>
          <w:sz w:val="24"/>
        </w:rPr>
        <w:t xml:space="preserve">    3.《无领导小组讨论》：每组考生从复试试题中抽取题目，在规定时间内完成，每位考生发言时间6-8分钟。考察考生的应急处理能力、逻辑分析能力、判断决策能力、语言表达能力、语言概括能力、仪表举止行为、沟通交往能力、组织协调能力、创业精神与创新意识、价值取向和职业道德等。</w:t>
      </w:r>
    </w:p>
    <w:p>
      <w:pPr>
        <w:snapToGrid w:val="0"/>
        <w:rPr>
          <w:rFonts w:hint="eastAsia"/>
          <w:color w:val="000000"/>
          <w:sz w:val="24"/>
        </w:rPr>
      </w:pPr>
    </w:p>
    <w:p>
      <w:pPr>
        <w:snapToGrid w:val="0"/>
        <w:rPr>
          <w:rFonts w:hint="eastAsia"/>
          <w:color w:val="000000"/>
          <w:sz w:val="24"/>
        </w:rPr>
      </w:pPr>
    </w:p>
    <w:p>
      <w:pPr>
        <w:snapToGrid w:val="0"/>
        <w:rPr>
          <w:b/>
          <w:sz w:val="24"/>
        </w:rPr>
      </w:pPr>
      <w:r>
        <w:rPr>
          <w:rFonts w:hint="eastAsia"/>
          <w:b/>
          <w:sz w:val="24"/>
        </w:rPr>
        <w:t>收费标准：18000元/学年</w:t>
      </w:r>
    </w:p>
    <w:p>
      <w:pPr>
        <w:snapToGrid w:val="0"/>
        <w:rPr>
          <w:rFonts w:hint="eastAsia"/>
          <w:color w:val="000000"/>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701" w:bottom="1134" w:left="1701"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6"/>
                            <w:rPr>
                              <w:rStyle w:val="15"/>
                              <w:rFonts w:hint="eastAsia"/>
                            </w:rPr>
                          </w:pPr>
                          <w:r>
                            <w:fldChar w:fldCharType="begin"/>
                          </w:r>
                          <w:r>
                            <w:rPr>
                              <w:rStyle w:val="15"/>
                            </w:rPr>
                            <w:instrText xml:space="preserve">PAGE  </w:instrText>
                          </w:r>
                          <w:r>
                            <w:fldChar w:fldCharType="separate"/>
                          </w:r>
                          <w:r>
                            <w:rPr>
                              <w:rStyle w:val="15"/>
                              <w:lang/>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r4BjLNQAAAAC&#10;AQAADwAAAGRycy9kb3ducmV2LnhtbE2PQUvDQBCF74L/YRnBm91NDlrTTIoKQqUBSfXgcZudJqHZ&#10;2ZDdpPXfu3qxl4HHe7z3Tb4+217MNPrOMUKyUCCIa2c6bhA+P17vliB80Gx075gQvsnDuri+ynVm&#10;3IkrmnehEbGEfaYR2hCGTEpft2S1X7iBOHoHN1odohwbaUZ9iuW2l6lS99LqjuNCqwd6aak+7iaL&#10;8JR+UbndLKfhOD/X729VWW03JeLtTaJWIAKdw38YfvEjOhSRae8mNl70CPGR8Hej95iA2COk6gFk&#10;kctL9OIH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AYyz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pStyle w:val="6"/>
                      <w:rPr>
                        <w:rStyle w:val="15"/>
                        <w:rFonts w:hint="eastAsia"/>
                      </w:rPr>
                    </w:pPr>
                    <w:r>
                      <w:fldChar w:fldCharType="begin"/>
                    </w:r>
                    <w:r>
                      <w:rPr>
                        <w:rStyle w:val="15"/>
                      </w:rPr>
                      <w:instrText xml:space="preserve">PAGE  </w:instrText>
                    </w:r>
                    <w:r>
                      <w:fldChar w:fldCharType="separate"/>
                    </w:r>
                    <w:r>
                      <w:rPr>
                        <w:rStyle w:val="15"/>
                        <w:lang/>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5"/>
      </w:rPr>
    </w:pPr>
    <w:r>
      <w:fldChar w:fldCharType="begin"/>
    </w:r>
    <w:r>
      <w:rPr>
        <w:rStyle w:val="15"/>
      </w:rPr>
      <w:instrText xml:space="preserve">PAGE  </w:instrText>
    </w:r>
    <w:r>
      <w:fldChar w:fldCharType="separate"/>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002"/>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r4BjLNQAAAAC&#10;AQAADwAAAGRycy9kb3ducmV2LnhtbE2PQUvDQBCF74L/YRnBm91NDlrTTIoKQqUBSfXgcZudJqHZ&#10;2ZDdpPXfu3qxl4HHe7z3Tb4+217MNPrOMUKyUCCIa2c6bhA+P17vliB80Gx075gQvsnDuri+ynVm&#10;3IkrmnehEbGEfaYR2hCGTEpft2S1X7iBOHoHN1odohwbaUZ9iuW2l6lS99LqjuNCqwd6aak+7iaL&#10;8JR+UbndLKfhOD/X729VWW03JeLtTaJWIAKdw38YfvEjOhSRae8mNl70CPGR8Hej95iA2COk6gFk&#10;kctL9OIH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4BjLN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TFjMjU0MTJlNGQzZTY2M2Y0MjVmM2MyZjBmNzAifQ=="/>
  </w:docVars>
  <w:rsids>
    <w:rsidRoot w:val="00172A27"/>
    <w:rsid w:val="000174F1"/>
    <w:rsid w:val="0006773D"/>
    <w:rsid w:val="000765FE"/>
    <w:rsid w:val="00082EB5"/>
    <w:rsid w:val="00113BC6"/>
    <w:rsid w:val="00187783"/>
    <w:rsid w:val="0022261A"/>
    <w:rsid w:val="00223415"/>
    <w:rsid w:val="00241855"/>
    <w:rsid w:val="002451AB"/>
    <w:rsid w:val="002604CE"/>
    <w:rsid w:val="002C0FF8"/>
    <w:rsid w:val="002D3EBC"/>
    <w:rsid w:val="002F359A"/>
    <w:rsid w:val="0032003C"/>
    <w:rsid w:val="003210DA"/>
    <w:rsid w:val="00363408"/>
    <w:rsid w:val="0039656A"/>
    <w:rsid w:val="004338E9"/>
    <w:rsid w:val="004900E8"/>
    <w:rsid w:val="004B589A"/>
    <w:rsid w:val="004E33D8"/>
    <w:rsid w:val="00517CC2"/>
    <w:rsid w:val="005253E6"/>
    <w:rsid w:val="005C09D4"/>
    <w:rsid w:val="005E0183"/>
    <w:rsid w:val="006507E5"/>
    <w:rsid w:val="00657AB5"/>
    <w:rsid w:val="00665B07"/>
    <w:rsid w:val="006A5A7E"/>
    <w:rsid w:val="006B3F2E"/>
    <w:rsid w:val="006D57A7"/>
    <w:rsid w:val="006D7E31"/>
    <w:rsid w:val="0070360F"/>
    <w:rsid w:val="007372B7"/>
    <w:rsid w:val="007B1176"/>
    <w:rsid w:val="007E4771"/>
    <w:rsid w:val="007E6EA3"/>
    <w:rsid w:val="00815190"/>
    <w:rsid w:val="00825CE6"/>
    <w:rsid w:val="0082685A"/>
    <w:rsid w:val="008568BE"/>
    <w:rsid w:val="00864996"/>
    <w:rsid w:val="00871789"/>
    <w:rsid w:val="00885DAF"/>
    <w:rsid w:val="008C0A84"/>
    <w:rsid w:val="008C128B"/>
    <w:rsid w:val="008D15CE"/>
    <w:rsid w:val="008F6874"/>
    <w:rsid w:val="00922CA4"/>
    <w:rsid w:val="00946625"/>
    <w:rsid w:val="00986B18"/>
    <w:rsid w:val="009971D6"/>
    <w:rsid w:val="009C7100"/>
    <w:rsid w:val="00A07FB5"/>
    <w:rsid w:val="00A25EA2"/>
    <w:rsid w:val="00A801D5"/>
    <w:rsid w:val="00A86216"/>
    <w:rsid w:val="00AA0AC8"/>
    <w:rsid w:val="00AD4CAF"/>
    <w:rsid w:val="00B039CE"/>
    <w:rsid w:val="00B214E4"/>
    <w:rsid w:val="00B42DEE"/>
    <w:rsid w:val="00B63FA2"/>
    <w:rsid w:val="00B91653"/>
    <w:rsid w:val="00BD463F"/>
    <w:rsid w:val="00C054F4"/>
    <w:rsid w:val="00C55501"/>
    <w:rsid w:val="00C56B4A"/>
    <w:rsid w:val="00C77CF6"/>
    <w:rsid w:val="00CC0EC4"/>
    <w:rsid w:val="00CE1D85"/>
    <w:rsid w:val="00D871B7"/>
    <w:rsid w:val="00D976AB"/>
    <w:rsid w:val="00DD3102"/>
    <w:rsid w:val="00E34DD4"/>
    <w:rsid w:val="00E51CF1"/>
    <w:rsid w:val="00E72E13"/>
    <w:rsid w:val="00E85C4F"/>
    <w:rsid w:val="00E87B7A"/>
    <w:rsid w:val="00ED4DA9"/>
    <w:rsid w:val="00ED5FE3"/>
    <w:rsid w:val="00EF39CB"/>
    <w:rsid w:val="00EF4A54"/>
    <w:rsid w:val="00F36759"/>
    <w:rsid w:val="00F5316C"/>
    <w:rsid w:val="00F7505F"/>
    <w:rsid w:val="00F7551D"/>
    <w:rsid w:val="00F964E9"/>
    <w:rsid w:val="00FE66FF"/>
    <w:rsid w:val="0B07247B"/>
    <w:rsid w:val="0DCB6F70"/>
    <w:rsid w:val="0E8E1A8C"/>
    <w:rsid w:val="0EB36F33"/>
    <w:rsid w:val="11E0788C"/>
    <w:rsid w:val="174F752A"/>
    <w:rsid w:val="1DEA77B3"/>
    <w:rsid w:val="1EFE64A6"/>
    <w:rsid w:val="25D9157E"/>
    <w:rsid w:val="29594EE5"/>
    <w:rsid w:val="2A117CE0"/>
    <w:rsid w:val="2C9140D0"/>
    <w:rsid w:val="2D7C620C"/>
    <w:rsid w:val="300E7C19"/>
    <w:rsid w:val="30260795"/>
    <w:rsid w:val="31D5120D"/>
    <w:rsid w:val="334E3F9E"/>
    <w:rsid w:val="36BC0971"/>
    <w:rsid w:val="37152AF9"/>
    <w:rsid w:val="38026E53"/>
    <w:rsid w:val="40E24457"/>
    <w:rsid w:val="4108118A"/>
    <w:rsid w:val="4442061F"/>
    <w:rsid w:val="44C417C2"/>
    <w:rsid w:val="48F7680F"/>
    <w:rsid w:val="49C45CF6"/>
    <w:rsid w:val="4B0B0F44"/>
    <w:rsid w:val="5385171C"/>
    <w:rsid w:val="5A3550D4"/>
    <w:rsid w:val="5B1C19DB"/>
    <w:rsid w:val="6BE040BF"/>
    <w:rsid w:val="6DDC1B37"/>
    <w:rsid w:val="791D6E71"/>
    <w:rsid w:val="7E9171D6"/>
    <w:rsid w:val="7F1013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qFormat/>
    <w:uiPriority w:val="0"/>
    <w:pPr>
      <w:widowControl/>
      <w:spacing w:before="100" w:beforeLines="0" w:beforeAutospacing="1" w:after="100" w:afterLines="0" w:afterAutospacing="1"/>
      <w:jc w:val="left"/>
      <w:outlineLvl w:val="1"/>
    </w:pPr>
    <w:rPr>
      <w:rFonts w:ascii="宋体" w:hAnsi="宋体"/>
      <w:b/>
      <w:kern w:val="0"/>
      <w:sz w:val="36"/>
    </w:rPr>
  </w:style>
  <w:style w:type="character" w:default="1" w:styleId="13">
    <w:name w:val="Default Paragraph Font"/>
    <w:uiPriority w:val="0"/>
    <w:rPr>
      <w:rFonts w:ascii="Tahoma" w:hAnsi="Tahoma"/>
      <w:sz w:val="24"/>
    </w:rPr>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Document Map"/>
    <w:basedOn w:val="1"/>
    <w:uiPriority w:val="0"/>
    <w:pPr>
      <w:shd w:val="clear" w:color="auto" w:fill="000080"/>
    </w:pPr>
  </w:style>
  <w:style w:type="paragraph" w:styleId="4">
    <w:name w:val="annotation text"/>
    <w:basedOn w:val="1"/>
    <w:link w:val="19"/>
    <w:uiPriority w:val="0"/>
    <w:pPr>
      <w:jc w:val="left"/>
    </w:pPr>
    <w:rPr>
      <w:rFonts w:ascii="Tahoma" w:hAnsi="Tahoma"/>
    </w:rPr>
  </w:style>
  <w:style w:type="paragraph" w:styleId="5">
    <w:name w:val="Balloon Text"/>
    <w:basedOn w:val="1"/>
    <w:uiPriority w:val="0"/>
    <w:rPr>
      <w:sz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uiPriority w:val="0"/>
    <w:pPr>
      <w:spacing w:line="440" w:lineRule="exact"/>
      <w:ind w:firstLine="480" w:firstLineChars="200"/>
    </w:pPr>
    <w:rPr>
      <w:color w:val="FF660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0"/>
    <w:uiPriority w:val="0"/>
    <w:rPr>
      <w:b/>
      <w:bCs/>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ascii="Tahoma" w:hAnsi="Tahoma"/>
      <w:b/>
      <w:sz w:val="24"/>
    </w:rPr>
  </w:style>
  <w:style w:type="character" w:styleId="15">
    <w:name w:val="page number"/>
    <w:uiPriority w:val="0"/>
  </w:style>
  <w:style w:type="character" w:styleId="16">
    <w:name w:val="Emphasis"/>
    <w:qFormat/>
    <w:uiPriority w:val="0"/>
    <w:rPr>
      <w:rFonts w:ascii="Tahoma" w:hAnsi="Tahoma"/>
      <w:i/>
      <w:sz w:val="24"/>
    </w:rPr>
  </w:style>
  <w:style w:type="character" w:styleId="17">
    <w:name w:val="Hyperlink"/>
    <w:uiPriority w:val="0"/>
    <w:rPr>
      <w:rFonts w:ascii="Tahoma" w:hAnsi="Tahoma"/>
      <w:color w:val="0000FF"/>
      <w:sz w:val="24"/>
      <w:u w:val="single"/>
    </w:rPr>
  </w:style>
  <w:style w:type="character" w:styleId="18">
    <w:name w:val="annotation reference"/>
    <w:uiPriority w:val="0"/>
    <w:rPr>
      <w:rFonts w:ascii="Tahoma" w:hAnsi="Tahoma"/>
      <w:sz w:val="21"/>
      <w:szCs w:val="21"/>
    </w:rPr>
  </w:style>
  <w:style w:type="character" w:customStyle="1" w:styleId="19">
    <w:name w:val="批注文字 字符"/>
    <w:link w:val="4"/>
    <w:uiPriority w:val="0"/>
    <w:rPr>
      <w:rFonts w:ascii="Tahoma" w:hAnsi="Tahoma"/>
      <w:kern w:val="2"/>
      <w:sz w:val="21"/>
    </w:rPr>
  </w:style>
  <w:style w:type="character" w:customStyle="1" w:styleId="20">
    <w:name w:val="批注主题 字符"/>
    <w:link w:val="10"/>
    <w:uiPriority w:val="0"/>
    <w:rPr>
      <w:rFonts w:ascii="Tahoma" w:hAnsi="Tahoma"/>
      <w:b/>
      <w:bCs/>
      <w:kern w:val="2"/>
      <w:sz w:val="21"/>
    </w:rPr>
  </w:style>
  <w:style w:type="character" w:customStyle="1" w:styleId="21">
    <w:name w:val="a-size-large"/>
    <w:uiPriority w:val="0"/>
  </w:style>
  <w:style w:type="character" w:customStyle="1" w:styleId="22">
    <w:name w:val="apple-converted-space"/>
    <w:uiPriority w:val="0"/>
  </w:style>
  <w:style w:type="character" w:customStyle="1" w:styleId="23">
    <w:name w:val="author notfaded"/>
    <w:uiPriority w:val="0"/>
  </w:style>
  <w:style w:type="paragraph" w:customStyle="1" w:styleId="24">
    <w:name w:val="Char Char Char Char Char Char Char Char Char Char"/>
    <w:basedOn w:val="1"/>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253</Words>
  <Characters>1446</Characters>
  <Lines>12</Lines>
  <Paragraphs>3</Paragraphs>
  <TotalTime>0</TotalTime>
  <ScaleCrop>false</ScaleCrop>
  <LinksUpToDate>false</LinksUpToDate>
  <CharactersWithSpaces>1696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2021-08-02T04:03:00Z</dcterms:created>
  <dc:creator>微软用户</dc:creator>
  <cp:lastModifiedBy>~ing</cp:lastModifiedBy>
  <cp:lastPrinted>2018-05-22T03:03:00Z</cp:lastPrinted>
  <dcterms:modified xsi:type="dcterms:W3CDTF">2023-09-21T02:16:37Z</dcterms:modified>
  <dc:title>博士学位论文开提报告审核表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F6634404C8594109946CD0F7F58B4F79_13</vt:lpwstr>
  </property>
</Properties>
</file>