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color w:val="000000"/>
          <w:sz w:val="36"/>
        </w:rPr>
      </w:pPr>
      <w:r>
        <w:rPr>
          <w:rFonts w:ascii="黑体" w:hAnsi="黑体" w:eastAsia="黑体"/>
          <w:color w:val="000000"/>
          <w:sz w:val="36"/>
        </w:rPr>
        <w:t xml:space="preserve">            工商管理硕士</w:t>
      </w:r>
      <w:bookmarkStart w:id="0" w:name="_GoBack"/>
      <w:r>
        <w:rPr>
          <w:rFonts w:ascii="黑体" w:hAnsi="黑体" w:eastAsia="黑体"/>
          <w:color w:val="000000"/>
          <w:sz w:val="36"/>
        </w:rPr>
        <w:t>125100</w:t>
      </w:r>
      <w:bookmarkEnd w:id="0"/>
      <w:r>
        <w:rPr>
          <w:rFonts w:hint="eastAsia" w:ascii="黑体" w:hAnsi="黑体" w:eastAsia="黑体"/>
          <w:color w:val="000000"/>
          <w:sz w:val="36"/>
        </w:rPr>
        <w:t>（全日制）</w:t>
      </w:r>
    </w:p>
    <w:p>
      <w:pPr>
        <w:snapToGrid w:val="0"/>
        <w:jc w:val="center"/>
        <w:rPr>
          <w:rFonts w:ascii="黑体" w:hAnsi="黑体" w:eastAsia="黑体"/>
          <w:color w:val="000000"/>
          <w:sz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学科点简介: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MBA硕士点隶属于广东财经大学工商管理学院/粤商学院，所在的工商管理一级学科是广东省优势重点学科。工商管理学院/粤商学院是广东财经大学实施MBA教育项目的办学实体，拥有国家级实验教学示范中心、国家级人才培养模式创新实验区等教学教辅设施和创业实践基地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学院师资力量雄厚，现有教职工95人，其中专任教师76人，专任教师中教授14人，副教授25人，64人获得博士学位，占84.2%。教师队伍中，多人入选教育部新世纪优秀人才支持计划、广东省高等学校教学名师、校级“卓越教学名师”、南岭学者杰出人才、南岭学者青年拔尖人才。学院拥有广东省级教学团队和广东省高等学校科研创新团队。近年来，学院承担国家级科研项目15项，省部级科研项目34项，在国际商科顶级期刊UTD24、FT50期刊及国内权威期刊《经济研究》《管理世界》等发表论文200多篇，出版著作16部，2部教材入选国家高等教育本科十二五规划教材，获广东省哲学社会科学优秀成果奖二等奖。</w:t>
      </w:r>
    </w:p>
    <w:p>
      <w:pPr>
        <w:snapToGrid w:val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培养目标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立足于粤港澳大湾区经济建设，培养深谙粤商文化、具备国际视野、洞悉市场变化、富有创新精神和领导能力的管理者和职业经理人。</w:t>
      </w:r>
    </w:p>
    <w:p>
      <w:pPr>
        <w:snapToGrid w:val="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主要课程: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商务英语、论文写作、管理经济学、管理心理学、人力资源管理、公司治理、公司理财、财务会计、市场营销、数据、模型与决策、企业战略创新、创新创业管理、商法与法律环境、商业伦理与企业社会责任</w:t>
      </w: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报考资格：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获得国家承认的高职高专毕业学历或大学本科结业后，符合招生单位相关学业要求，达到大学本科毕业同等学力并</w:t>
      </w:r>
      <w:r>
        <w:rPr>
          <w:rFonts w:ascii="宋体" w:hAnsi="宋体" w:eastAsia="宋体" w:cs="宋体"/>
          <w:color w:val="0C0C0C"/>
          <w:sz w:val="24"/>
          <w:szCs w:val="24"/>
        </w:rPr>
        <w:t>5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年以上工作经验的人员。</w:t>
      </w:r>
    </w:p>
    <w:p>
      <w:pPr>
        <w:snapToGrid w:val="0"/>
        <w:spacing w:line="360" w:lineRule="auto"/>
        <w:ind w:firstLine="1200"/>
        <w:jc w:val="left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sz w:val="24"/>
          <w:szCs w:val="24"/>
        </w:rPr>
        <w:t>2.</w:t>
      </w:r>
      <w: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大学本科毕业后有</w:t>
      </w:r>
      <w:r>
        <w:rPr>
          <w:rFonts w:ascii="宋体" w:hAnsi="宋体" w:eastAsia="宋体" w:cs="宋体"/>
          <w:color w:val="0C0C0C"/>
          <w:sz w:val="24"/>
          <w:szCs w:val="24"/>
        </w:rPr>
        <w:t>3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年以上工作经验的人员；</w:t>
      </w:r>
    </w:p>
    <w:p>
      <w:pPr>
        <w:snapToGrid w:val="0"/>
        <w:spacing w:line="360" w:lineRule="auto"/>
        <w:ind w:firstLine="1200"/>
        <w:jc w:val="left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获得硕士、博士研究生学历或学位后有</w:t>
      </w:r>
      <w:r>
        <w:rPr>
          <w:rFonts w:ascii="宋体" w:hAnsi="宋体" w:eastAsia="宋体" w:cs="宋体"/>
          <w:color w:val="0C0C0C"/>
          <w:sz w:val="24"/>
          <w:szCs w:val="24"/>
        </w:rPr>
        <w:t>2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年以上工作经验的人员。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就业方向: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政府部门、教学和科研单位、银行、证劵、保险、制造业、房地产、信息产业、咨询服务业、商贸流通企业、酒店、旅游服务业等。</w:t>
      </w:r>
    </w:p>
    <w:p>
      <w:pPr>
        <w:snapToGrid w:val="0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专业代码：</w:t>
      </w:r>
      <w:r>
        <w:rPr>
          <w:rFonts w:hint="eastAsia" w:ascii="宋体" w:hAnsi="宋体" w:eastAsia="宋体" w:cs="宋体"/>
          <w:sz w:val="24"/>
          <w:szCs w:val="24"/>
        </w:rPr>
        <w:t xml:space="preserve">125100；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咨询电话：</w:t>
      </w:r>
      <w:r>
        <w:rPr>
          <w:rFonts w:hint="eastAsia" w:ascii="宋体" w:hAnsi="宋体" w:eastAsia="宋体" w:cs="宋体"/>
          <w:sz w:val="24"/>
          <w:szCs w:val="24"/>
        </w:rPr>
        <w:t xml:space="preserve">020-84095147。 </w:t>
      </w:r>
    </w:p>
    <w:p>
      <w:pPr>
        <w:snapToGrid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2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05"/>
        <w:gridCol w:w="3005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初试科目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全日制MBA班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1.▲199-管理类联考综合能力（200分）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2.▲204-英语二（100分）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left="360" w:hanging="36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z w:val="24"/>
                <w:szCs w:val="24"/>
              </w:rPr>
              <w:t>工商管理硕士综合素质考试</w:t>
            </w:r>
          </w:p>
        </w:tc>
      </w:tr>
    </w:tbl>
    <w:p>
      <w:pPr>
        <w:snapToGrid w:val="0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▲表示统考科目或联考科目，考试题型、考试大纲以教育部公布为准。其他为自命题科目。</w:t>
      </w:r>
    </w:p>
    <w:p>
      <w:pPr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考试科目、考试题型及相应分值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《工商管理硕士综合素质考试》</w:t>
      </w:r>
    </w:p>
    <w:p>
      <w:pPr>
        <w:snapToGrid w:val="0"/>
        <w:spacing w:line="360" w:lineRule="auto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(1)政治 100分</w:t>
      </w:r>
    </w:p>
    <w:p>
      <w:pPr>
        <w:snapToGrid w:val="0"/>
        <w:spacing w:line="360" w:lineRule="auto"/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(2)专业与情景化面试 200分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(3)无领导小组面试 100分</w:t>
      </w:r>
    </w:p>
    <w:p>
      <w:pPr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考试大纲</w:t>
      </w:r>
    </w:p>
    <w:p>
      <w:pPr>
        <w:snapToGrid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1.《政治》（政治理论考试）：从复试试题中抽取题目，限时回答（2-3分钟），考察考生政治观点和政治敏感性。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2.《专业与情景化面试》：考生从复试试题中抽取题目，限时回答（3-5分钟）。考察专业背景知识、语言表达能力、仪表举止行为、逻辑分析能力、判断决策能力、自我控制能力（心理成熟程度）等。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3.《无领导小组讨论》：每组考生从复试试题中抽取题目，在规定时间内完成。考察考生的应急处理能力、逻辑分析能力、判断决策能力、语言表达能力、沟通交往能力、组织协调能力、创业精神与创新意识、价值取向和职业道德等。</w:t>
      </w: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rPr>
          <w:rFonts w:ascii="Calibri" w:eastAsia="宋体"/>
          <w:sz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</w:t>
      </w:r>
    </w:p>
    <w:p>
      <w:pPr>
        <w:autoSpaceDE w:val="0"/>
        <w:autoSpaceDN w:val="0"/>
        <w:rPr>
          <w:rFonts w:ascii="Calibri" w:eastAsia="宋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  <w:lang/>
      </w:rPr>
      <w:t>1</w:t>
    </w:r>
    <w:r>
      <w:rPr>
        <w:sz w:val="20"/>
      </w:rPr>
      <w:fldChar w:fldCharType="end"/>
    </w:r>
  </w:p>
  <w:p>
    <w:pPr>
      <w:tabs>
        <w:tab w:val="center" w:pos="4153"/>
        <w:tab w:val="right" w:pos="8306"/>
      </w:tabs>
      <w:jc w:val="lef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c5NTMzZDllZTNiYWIxMTY3ODAwMDk1MTRkMjkifQ=="/>
  </w:docVars>
  <w:rsids>
    <w:rsidRoot w:val="007A3CD9"/>
    <w:rsid w:val="0002437E"/>
    <w:rsid w:val="00286AF7"/>
    <w:rsid w:val="00322347"/>
    <w:rsid w:val="003414EA"/>
    <w:rsid w:val="00353AFE"/>
    <w:rsid w:val="004779A3"/>
    <w:rsid w:val="00566A58"/>
    <w:rsid w:val="006F724F"/>
    <w:rsid w:val="007A3CD9"/>
    <w:rsid w:val="007D6EB4"/>
    <w:rsid w:val="00966637"/>
    <w:rsid w:val="00995B82"/>
    <w:rsid w:val="00A97851"/>
    <w:rsid w:val="00BC6A6B"/>
    <w:rsid w:val="00D83A95"/>
    <w:rsid w:val="0A5432D6"/>
    <w:rsid w:val="0ACD2DEA"/>
    <w:rsid w:val="0CED40BF"/>
    <w:rsid w:val="0D600EA8"/>
    <w:rsid w:val="20AD4EAA"/>
    <w:rsid w:val="3DD43180"/>
    <w:rsid w:val="49C64B8F"/>
    <w:rsid w:val="4A4879BE"/>
    <w:rsid w:val="4B6F0C2C"/>
    <w:rsid w:val="56C20EB2"/>
    <w:rsid w:val="71092E34"/>
    <w:rsid w:val="719C1451"/>
    <w:rsid w:val="772E1661"/>
    <w:rsid w:val="7A155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eastAsia="Calibri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b/>
      <w:sz w:val="21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sz w:val="21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b/>
      <w:sz w:val="21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sz w:val="21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sz w:val="21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sz w:val="21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qFormat/>
    <w:uiPriority w:val="0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styleId="12">
    <w:name w:val="Normal Indent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13">
    <w:name w:val="toc 5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styleId="14">
    <w:name w:val="toc 3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styleId="15">
    <w:name w:val="toc 8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styleId="16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7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8">
    <w:name w:val="toc 4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sz w:val="24"/>
      <w:lang w:val="en-US" w:eastAsia="zh-CN" w:bidi="ar-SA"/>
    </w:rPr>
  </w:style>
  <w:style w:type="paragraph" w:styleId="20">
    <w:name w:val="toc 6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styleId="21">
    <w:name w:val="toc 2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styleId="22">
    <w:name w:val="toc 9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character" w:styleId="25">
    <w:name w:val="Strong"/>
    <w:qFormat/>
    <w:uiPriority w:val="0"/>
    <w:rPr>
      <w:b/>
      <w:sz w:val="20"/>
    </w:rPr>
  </w:style>
  <w:style w:type="character" w:styleId="26">
    <w:name w:val="Emphasis"/>
    <w:qFormat/>
    <w:uiPriority w:val="0"/>
    <w:rPr>
      <w:i/>
      <w:sz w:val="20"/>
    </w:rPr>
  </w:style>
  <w:style w:type="character" w:customStyle="1" w:styleId="27">
    <w:name w:val="页脚 字符"/>
    <w:link w:val="16"/>
    <w:uiPriority w:val="0"/>
    <w:rPr>
      <w:rFonts w:eastAsia="Calibri"/>
      <w:sz w:val="18"/>
      <w:szCs w:val="18"/>
    </w:rPr>
  </w:style>
  <w:style w:type="character" w:customStyle="1" w:styleId="28">
    <w:name w:val="页眉 字符"/>
    <w:link w:val="17"/>
    <w:uiPriority w:val="0"/>
    <w:rPr>
      <w:rFonts w:eastAsia="Calibri"/>
      <w:sz w:val="18"/>
      <w:szCs w:val="18"/>
    </w:rPr>
  </w:style>
  <w:style w:type="character" w:styleId="29">
    <w:name w:val=""/>
    <w:qFormat/>
    <w:uiPriority w:val="0"/>
    <w:rPr>
      <w:sz w:val="20"/>
    </w:rPr>
  </w:style>
  <w:style w:type="character" w:styleId="30">
    <w:name w:val=""/>
    <w:qFormat/>
    <w:uiPriority w:val="0"/>
    <w:rPr>
      <w:i/>
      <w:sz w:val="20"/>
    </w:rPr>
  </w:style>
  <w:style w:type="character" w:styleId="31">
    <w:name w:val=""/>
    <w:qFormat/>
    <w:uiPriority w:val="0"/>
    <w:rPr>
      <w:b/>
      <w:sz w:val="20"/>
    </w:rPr>
  </w:style>
  <w:style w:type="character" w:styleId="32">
    <w:name w:val=""/>
    <w:qFormat/>
    <w:uiPriority w:val="0"/>
    <w:rPr>
      <w:b/>
      <w:i/>
      <w:sz w:val="20"/>
    </w:rPr>
  </w:style>
  <w:style w:type="character" w:styleId="33">
    <w:name w:val=""/>
    <w:qFormat/>
    <w:uiPriority w:val="0"/>
    <w:rPr>
      <w:i/>
      <w:sz w:val="20"/>
    </w:rPr>
  </w:style>
  <w:style w:type="paragraph" w:customStyle="1" w:styleId="34">
    <w:name w:val="toc 92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35">
    <w:name w:val="toc 12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36">
    <w:name w:val="toc 7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37">
    <w:name w:val="toc 51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38">
    <w:name w:val="toc 43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39">
    <w:name w:val="toc 83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styleId="40">
    <w:name w:val="List Paragraph"/>
    <w:next w:val="1"/>
    <w:qFormat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41">
    <w:name w:val="toc 53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42">
    <w:name w:val="toc 6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3">
    <w:name w:val="toc 2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44">
    <w:name w:val="toc 61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5">
    <w:name w:val="toc 63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46">
    <w:name w:val="toc 93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47">
    <w:name w:val="toc 9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48">
    <w:name w:val="toc 23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49">
    <w:name w:val="toc 22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50">
    <w:name w:val="toc 81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customStyle="1" w:styleId="51">
    <w:name w:val="toc 3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52">
    <w:name w:val="toc 13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53">
    <w:name w:val="toc 21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customStyle="1" w:styleId="54">
    <w:name w:val="TOC Heading2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55">
    <w:name w:val="toc 91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customStyle="1" w:styleId="56">
    <w:name w:val="toc 33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57">
    <w:name w:val="toc 72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58">
    <w:name w:val="toc 11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59">
    <w:name w:val="TOC Heading1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60">
    <w:name w:val="toc 52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customStyle="1" w:styleId="61">
    <w:name w:val="toc 32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62">
    <w:name w:val="TOC Heading3"/>
    <w:next w:val="1"/>
    <w:uiPriority w:val="0"/>
    <w:pPr>
      <w:wordWrap w:val="0"/>
    </w:pPr>
    <w:rPr>
      <w:sz w:val="32"/>
      <w:lang w:val="en-US" w:eastAsia="zh-CN" w:bidi="ar-SA"/>
    </w:rPr>
  </w:style>
  <w:style w:type="paragraph" w:customStyle="1" w:styleId="63">
    <w:name w:val="toc 31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customStyle="1" w:styleId="64">
    <w:name w:val="toc 42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65">
    <w:name w:val="Normal (Web)"/>
    <w:basedOn w:val="1"/>
    <w:next w:val="1"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eastAsia="宋体"/>
      <w:sz w:val="24"/>
    </w:rPr>
  </w:style>
  <w:style w:type="paragraph" w:customStyle="1" w:styleId="66">
    <w:name w:val="toc 82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styleId="6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i/>
      <w:sz w:val="21"/>
      <w:lang w:val="en-US" w:eastAsia="zh-CN" w:bidi="ar-SA"/>
    </w:rPr>
  </w:style>
  <w:style w:type="paragraph" w:customStyle="1" w:styleId="68">
    <w:name w:val="TOC Heading4"/>
    <w:next w:val="1"/>
    <w:uiPriority w:val="0"/>
    <w:pPr>
      <w:wordWrap w:val="0"/>
    </w:pPr>
    <w:rPr>
      <w:sz w:val="32"/>
      <w:lang w:val="en-US" w:eastAsia="zh-CN" w:bidi="ar-SA"/>
    </w:rPr>
  </w:style>
  <w:style w:type="paragraph" w:styleId="69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customStyle="1" w:styleId="70">
    <w:name w:val="toc 8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customStyle="1" w:styleId="71">
    <w:name w:val="toc 1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customStyle="1" w:styleId="72">
    <w:name w:val="toc 71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styleId="73">
    <w:name w:val=""/>
    <w:next w:val="1"/>
    <w:qFormat/>
    <w:uiPriority w:val="0"/>
    <w:pPr>
      <w:wordWrap w:val="0"/>
    </w:pPr>
    <w:rPr>
      <w:sz w:val="32"/>
      <w:lang w:val="en-US" w:eastAsia="zh-CN" w:bidi="ar-SA"/>
    </w:rPr>
  </w:style>
  <w:style w:type="paragraph" w:customStyle="1" w:styleId="74">
    <w:name w:val="toc 73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customStyle="1" w:styleId="75">
    <w:name w:val="toc 41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76">
    <w:name w:val="toc 62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customStyle="1" w:styleId="77">
    <w:name w:val="toc 4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customStyle="1" w:styleId="78">
    <w:name w:val="toc 5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205</Words>
  <Characters>1171</Characters>
  <Lines>9</Lines>
  <Paragraphs>2</Paragraphs>
  <TotalTime>0</TotalTime>
  <ScaleCrop>false</ScaleCrop>
  <LinksUpToDate>false</LinksUpToDate>
  <CharactersWithSpaces>1374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2023-09-18T05:45:00Z</dcterms:created>
  <dc:creator>swift</dc:creator>
  <cp:lastModifiedBy>~ing</cp:lastModifiedBy>
  <cp:lastPrinted>2020-06-22T02:42:00Z</cp:lastPrinted>
  <dcterms:modified xsi:type="dcterms:W3CDTF">2023-09-18T06:23:51Z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72A37BD03F504DC590F8B8258950EF7F_13</vt:lpwstr>
  </property>
</Properties>
</file>