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会计学</w:t>
      </w:r>
      <w:bookmarkStart w:id="0" w:name="_GoBack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120201</w:t>
      </w:r>
      <w:bookmarkEnd w:id="0"/>
    </w:p>
    <w:p>
      <w:pPr>
        <w:adjustRightInd w:val="0"/>
        <w:snapToGrid w:val="0"/>
        <w:ind w:firstLine="472" w:firstLineChars="196"/>
        <w:rPr>
          <w:rFonts w:hint="eastAsia" w:ascii="宋体" w:hAnsi="宋体"/>
          <w:b/>
          <w:sz w:val="24"/>
          <w:szCs w:val="20"/>
        </w:rPr>
      </w:pPr>
    </w:p>
    <w:p>
      <w:pPr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学科点简介: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会计学院现有教工59人，专任教师45人，其中教授10人、副教授17人，具有博士学位的教师28人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本学位点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师资队伍中有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博士生导师4人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硕士导师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48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人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博士后合作导师4人；聘请校外实践导师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173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人；全国先进会计工作者1人，全国会计领军人才特支计划入选者1人，财政部全国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高端会计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人才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人，广东省高端会计人才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人；广东省高等学校“千百十人才工程”培养对象11人，广东省高等学校优秀青年教师培养对象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人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，南粤优秀教师4人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；广东高校辅导员年度人物1人。先后有多名教师作为访问学者到美国、加拿大、澳大利亚等国家访学。近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年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本学位点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在研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国家课题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项，省部级课题1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项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，市厅级课题21项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；承担政府、企事业单位委托横向课题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31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项，合同经费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850余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万元；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近3年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在国际商科顶级期刊UTD24/FT50、国家自然科学基金委A类期刊、ABS、SSCI、SCI、EI和A&amp;HCI类及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学校B类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以上权威期刊发表论文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30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篇，在其他CSSCI期刊（集刊）发表论文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36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篇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（第一作者且第一单位），含合作CSSCI论文100余篇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，出版著作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和教材7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部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，获省部级以上成果奖6项，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Hans" w:bidi="ar-SA"/>
        </w:rPr>
        <w:t>为政府部门、企事业单位提供咨询报告12篇，均得到采纳。</w:t>
      </w:r>
      <w:r>
        <w:rPr>
          <w:rFonts w:hint="eastAsia" w:ascii="宋体" w:hAnsi="宋体"/>
          <w:color w:val="000000"/>
          <w:sz w:val="24"/>
          <w:szCs w:val="20"/>
        </w:rPr>
        <w:t>2007年开始招收会计学学术型研究生，2015年开始招收会计硕士专业学位研究生，2019年开始招收审计硕士专业学位研究生。</w:t>
      </w:r>
      <w:r>
        <w:rPr>
          <w:rFonts w:hint="eastAsia" w:ascii="宋体" w:hAnsi="宋体"/>
          <w:color w:val="000000"/>
          <w:sz w:val="24"/>
          <w:szCs w:val="20"/>
          <w:lang w:val="en-US" w:eastAsia="zh-CN"/>
        </w:rPr>
        <w:t>2007年</w:t>
      </w:r>
      <w:r>
        <w:rPr>
          <w:rFonts w:hint="eastAsia" w:ascii="宋体" w:hAnsi="宋体"/>
          <w:color w:val="000000"/>
          <w:sz w:val="24"/>
          <w:szCs w:val="20"/>
        </w:rPr>
        <w:t>招生至今，会计学</w:t>
      </w:r>
      <w:r>
        <w:rPr>
          <w:rFonts w:hint="eastAsia" w:ascii="宋体" w:hAnsi="宋体"/>
          <w:color w:val="000000"/>
          <w:sz w:val="24"/>
          <w:szCs w:val="20"/>
          <w:lang w:val="en-US" w:eastAsia="zh-CN"/>
        </w:rPr>
        <w:t>研究生</w:t>
      </w:r>
      <w:r>
        <w:rPr>
          <w:rFonts w:hint="eastAsia" w:ascii="宋体" w:hAnsi="宋体"/>
          <w:color w:val="000000"/>
          <w:sz w:val="24"/>
          <w:szCs w:val="20"/>
        </w:rPr>
        <w:t>毕业生就业率和就业质量均名列前茅。</w:t>
      </w:r>
    </w:p>
    <w:p>
      <w:pPr>
        <w:rPr>
          <w:rFonts w:hint="eastAsia" w:ascii="宋体" w:hAnsi="宋体"/>
          <w:color w:val="000000"/>
          <w:sz w:val="24"/>
          <w:szCs w:val="20"/>
        </w:rPr>
      </w:pPr>
    </w:p>
    <w:p>
      <w:pPr>
        <w:rPr>
          <w:rFonts w:hint="eastAsia" w:ascii="宋体" w:hAnsi="宋体" w:eastAsia="宋体" w:cs="Times New Roman"/>
          <w:color w:val="000000"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培养目标</w:t>
      </w:r>
      <w:r>
        <w:rPr>
          <w:rFonts w:hint="eastAsia" w:ascii="宋体" w:hAnsi="宋体"/>
          <w:b/>
          <w:color w:val="000000"/>
          <w:sz w:val="24"/>
          <w:szCs w:val="20"/>
        </w:rPr>
        <w:t>:</w:t>
      </w:r>
      <w:r>
        <w:rPr>
          <w:rFonts w:ascii="??_GB2312" w:hAnsi="宋体" w:eastAsia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本专业对接国家和粤港澳大湾区经济社会发展，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CN"/>
        </w:rPr>
        <w:t>坚持“</w:t>
      </w:r>
      <w:r>
        <w:rPr>
          <w:rFonts w:hint="default" w:ascii="宋体" w:hAnsi="宋体" w:eastAsia="宋体" w:cs="Times New Roman"/>
          <w:color w:val="000000"/>
          <w:sz w:val="24"/>
          <w:szCs w:val="20"/>
        </w:rPr>
        <w:t>湾区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CN"/>
        </w:rPr>
        <w:t>意识</w:t>
      </w:r>
      <w:r>
        <w:rPr>
          <w:rFonts w:hint="default" w:ascii="宋体" w:hAnsi="宋体" w:eastAsia="宋体" w:cs="Times New Roman"/>
          <w:color w:val="000000"/>
          <w:sz w:val="24"/>
          <w:szCs w:val="20"/>
        </w:rPr>
        <w:t>、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CN"/>
        </w:rPr>
        <w:t>数智赋能、多元协同、知行合一”</w:t>
      </w:r>
      <w:r>
        <w:rPr>
          <w:rFonts w:hint="default" w:ascii="宋体" w:hAnsi="宋体" w:eastAsia="宋体" w:cs="Times New Roman"/>
          <w:color w:val="000000"/>
          <w:sz w:val="24"/>
          <w:szCs w:val="20"/>
        </w:rPr>
        <w:t>的人才培养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CN"/>
        </w:rPr>
        <w:t>理念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，培养具有科学研究能力，掌握系统的会计学基本理论知识和研究方法，能够继续从事会计学学术研究，以及胜任各类企、事业单位及政府部门的会计、审计、财务管理高层次专门人才。</w:t>
      </w:r>
    </w:p>
    <w:p>
      <w:pPr>
        <w:rPr>
          <w:rFonts w:hint="eastAsia" w:ascii="宋体" w:hAnsi="宋体" w:eastAsia="宋体" w:cs="Times New Roman"/>
          <w:color w:val="000000"/>
          <w:sz w:val="24"/>
          <w:szCs w:val="20"/>
        </w:rPr>
      </w:pPr>
    </w:p>
    <w:p>
      <w:pPr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b/>
          <w:color w:val="000000"/>
          <w:sz w:val="24"/>
          <w:szCs w:val="20"/>
        </w:rPr>
        <w:t>主要课程: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</w:rPr>
        <w:t>《财务会计理论研究》、《财务管理理论研究》、《审计理论研究》、《管理会计理论研究》、《会计研究方法》、《资本市场与公司治理研究》、《内部控制理论与实务》、《大数据与会计信息化研究》、《税收筹划》、《财务报表分析》、《财务大数据挖掘》、《数智化审计》、《Python 程序设计》、《学位论文写作专题》等。</w:t>
      </w:r>
    </w:p>
    <w:p>
      <w:pPr>
        <w:rPr>
          <w:rFonts w:hint="eastAsia" w:ascii="宋体" w:hAnsi="宋体"/>
          <w:color w:val="000000"/>
          <w:sz w:val="24"/>
          <w:szCs w:val="20"/>
        </w:rPr>
      </w:pPr>
    </w:p>
    <w:p>
      <w:pPr>
        <w:adjustRightInd w:val="0"/>
        <w:snapToGrid w:val="0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b/>
          <w:color w:val="000000"/>
          <w:sz w:val="24"/>
          <w:szCs w:val="20"/>
        </w:rPr>
        <w:t>就业方向: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</w:rPr>
        <w:t>大型企业、行政事业单位；也可进一步报考相关学科门类的博士研究生，继续求学深造。</w:t>
      </w:r>
    </w:p>
    <w:p>
      <w:pPr>
        <w:adjustRightInd w:val="0"/>
        <w:snapToGrid w:val="0"/>
        <w:jc w:val="center"/>
        <w:rPr>
          <w:rFonts w:hint="eastAsia" w:ascii="宋体" w:hAnsi="宋体"/>
          <w:b/>
          <w:color w:val="000000"/>
          <w:sz w:val="24"/>
          <w:szCs w:val="20"/>
        </w:rPr>
      </w:pPr>
      <w:r>
        <w:rPr>
          <w:rFonts w:hint="eastAsia" w:ascii="宋体" w:hAnsi="宋体"/>
          <w:b/>
          <w:color w:val="000000"/>
          <w:sz w:val="24"/>
          <w:szCs w:val="20"/>
        </w:rPr>
        <w:t>专业代码：</w:t>
      </w:r>
      <w:r>
        <w:rPr>
          <w:rFonts w:ascii="宋体" w:hAnsi="宋体"/>
          <w:b/>
          <w:color w:val="000000"/>
          <w:sz w:val="24"/>
          <w:szCs w:val="20"/>
        </w:rPr>
        <w:t>120201</w:t>
      </w:r>
      <w:r>
        <w:rPr>
          <w:rFonts w:hint="eastAsia" w:ascii="宋体" w:hAnsi="宋体"/>
          <w:b/>
          <w:color w:val="000000"/>
          <w:sz w:val="24"/>
          <w:szCs w:val="20"/>
        </w:rPr>
        <w:t xml:space="preserve">                        咨询电话：</w:t>
      </w:r>
      <w:r>
        <w:rPr>
          <w:rFonts w:ascii="宋体" w:hAnsi="宋体"/>
          <w:b/>
          <w:color w:val="000000"/>
          <w:sz w:val="24"/>
          <w:szCs w:val="20"/>
        </w:rPr>
        <w:t>020-84095629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16"/>
        <w:gridCol w:w="302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916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会计理论与实务</w:t>
            </w:r>
          </w:p>
        </w:tc>
        <w:tc>
          <w:tcPr>
            <w:tcW w:w="3024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（1）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思想政治理论（100分）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（2）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英语一（100分）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（3）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数学三（150分）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（4）管理学原理（150分）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F521-会计学综合（100分）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916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财务管理理论与实务</w:t>
            </w:r>
          </w:p>
        </w:tc>
        <w:tc>
          <w:tcPr>
            <w:tcW w:w="30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916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审计理论与实务</w:t>
            </w:r>
          </w:p>
        </w:tc>
        <w:tc>
          <w:tcPr>
            <w:tcW w:w="30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0"/>
              </w:rPr>
            </w:pPr>
          </w:p>
        </w:tc>
      </w:tr>
    </w:tbl>
    <w:p>
      <w:pPr>
        <w:adjustRightInd w:val="0"/>
        <w:snapToGrid w:val="0"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t>▲</w:t>
      </w:r>
      <w:r>
        <w:rPr>
          <w:rFonts w:hint="eastAsia" w:ascii="仿宋_GB2312" w:hAnsi="宋体" w:eastAsia="仿宋_GB2312"/>
          <w:b/>
          <w:bCs/>
          <w:color w:val="000000"/>
          <w:sz w:val="24"/>
          <w:szCs w:val="20"/>
        </w:rPr>
        <w:t>表示统考科目或联考科目，考试题型、考试大纲以教育部公布为准。其他为自命题科目。</w:t>
      </w:r>
    </w:p>
    <w:p>
      <w:pPr>
        <w:snapToGrid w:val="0"/>
        <w:rPr>
          <w:rFonts w:hint="eastAsia" w:eastAsia="黑体"/>
          <w:b/>
          <w:sz w:val="24"/>
          <w:szCs w:val="20"/>
        </w:rPr>
      </w:pPr>
    </w:p>
    <w:p>
      <w:pPr>
        <w:snapToGrid w:val="0"/>
        <w:rPr>
          <w:rFonts w:hint="eastAsia" w:ascii="宋体" w:hAnsi="宋体" w:cs="宋体"/>
          <w:b/>
          <w:sz w:val="24"/>
          <w:szCs w:val="20"/>
        </w:rPr>
      </w:pPr>
      <w:r>
        <w:rPr>
          <w:rFonts w:hint="eastAsia" w:ascii="宋体" w:hAnsi="宋体" w:cs="宋体"/>
          <w:b/>
          <w:sz w:val="24"/>
          <w:szCs w:val="20"/>
        </w:rPr>
        <w:t>考试题型及相应分值：</w:t>
      </w:r>
    </w:p>
    <w:p>
      <w:pPr>
        <w:shd w:val="solid" w:color="FFFFFF" w:fill="auto"/>
        <w:autoSpaceDN w:val="0"/>
        <w:adjustRightInd w:val="0"/>
        <w:snapToGrid w:val="0"/>
        <w:rPr>
          <w:rFonts w:ascii="宋体" w:hAnsi="宋体" w:cs="宋体"/>
          <w:b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0"/>
        </w:rPr>
        <w:t>《管理学原理》：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（1）名词解释（6题，每题10分，共60分）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（2）简答题（3题，共60分）</w:t>
      </w:r>
    </w:p>
    <w:p>
      <w:pPr>
        <w:shd w:val="solid" w:color="FFFFFF" w:fill="auto"/>
        <w:autoSpaceDN w:val="0"/>
        <w:adjustRightInd w:val="0"/>
        <w:snapToGrid w:val="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（3）案例分析（1题，共30分）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参考书目：周三多、陈传明、刘子馨、贾定良：《管理学：原理与方法》（第7版），复旦大学出版社，2018年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rPr>
          <w:rFonts w:hint="eastAsia" w:ascii="宋体" w:hAnsi="宋体" w:cs="宋体"/>
          <w:b/>
          <w:color w:val="000000"/>
          <w:sz w:val="24"/>
          <w:szCs w:val="20"/>
        </w:rPr>
      </w:pPr>
      <w:r>
        <w:rPr>
          <w:rFonts w:hint="eastAsia" w:ascii="宋体" w:hAnsi="宋体" w:cs="宋体"/>
          <w:b/>
          <w:sz w:val="24"/>
          <w:szCs w:val="20"/>
        </w:rPr>
        <w:t>《会计学综合》</w:t>
      </w:r>
    </w:p>
    <w:p>
      <w:pPr>
        <w:adjustRightInd w:val="0"/>
        <w:snapToGrid w:val="0"/>
        <w:ind w:firstLine="120" w:firstLineChars="50"/>
        <w:jc w:val="left"/>
        <w:rPr>
          <w:rFonts w:hint="eastAsia"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（1）名词解释（5题，每题3分，共15分）</w:t>
      </w:r>
    </w:p>
    <w:p>
      <w:pPr>
        <w:adjustRightInd w:val="0"/>
        <w:snapToGrid w:val="0"/>
        <w:ind w:firstLine="120" w:firstLineChars="50"/>
        <w:jc w:val="left"/>
        <w:rPr>
          <w:rFonts w:hint="eastAsia"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（2）简答题（3题，每题5分，共15分）</w:t>
      </w:r>
    </w:p>
    <w:p>
      <w:pPr>
        <w:adjustRightInd w:val="0"/>
        <w:snapToGrid w:val="0"/>
        <w:ind w:firstLine="120" w:firstLineChars="50"/>
        <w:jc w:val="left"/>
        <w:rPr>
          <w:rFonts w:hint="eastAsia"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（3）实务题（4题，每题10分，共40分）</w:t>
      </w:r>
    </w:p>
    <w:p>
      <w:pPr>
        <w:adjustRightInd w:val="0"/>
        <w:snapToGrid w:val="0"/>
        <w:ind w:firstLine="120" w:firstLineChars="50"/>
        <w:jc w:val="lef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（4）论述题（2题，每题15分，共30分）</w:t>
      </w:r>
    </w:p>
    <w:p>
      <w:pPr>
        <w:adjustRightInd w:val="0"/>
        <w:snapToGrid w:val="0"/>
        <w:rPr>
          <w:rFonts w:ascii="宋体" w:hAnsi="宋体"/>
          <w:b/>
          <w:sz w:val="24"/>
          <w:szCs w:val="20"/>
        </w:rPr>
      </w:pPr>
    </w:p>
    <w:p>
      <w:pPr>
        <w:shd w:val="solid" w:color="FFFFFF" w:fill="auto"/>
        <w:autoSpaceDN w:val="0"/>
        <w:adjustRightInd w:val="0"/>
        <w:snapToGrid w:val="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参考书目：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刘永泽、陈立军主编：《中级财务会计》第7版，东北财经大学出版社，2021年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王华、陈玉珍主编：《财务管理》，清华出版社，2014年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刘明辉、史德刚主编：《审计》第7版，东北财经大学出版社，2019年</w:t>
      </w:r>
    </w:p>
    <w:p>
      <w:pPr>
        <w:adjustRightInd w:val="0"/>
        <w:snapToGrid w:val="0"/>
        <w:rPr>
          <w:rFonts w:ascii="宋体" w:hAnsi="宋体"/>
          <w:b/>
          <w:sz w:val="24"/>
          <w:szCs w:val="20"/>
        </w:rPr>
      </w:pPr>
    </w:p>
    <w:p>
      <w:pPr>
        <w:adjustRightInd w:val="0"/>
        <w:snapToGrid w:val="0"/>
        <w:rPr>
          <w:rFonts w:ascii="宋体" w:hAnsi="宋体"/>
          <w:bCs/>
          <w:sz w:val="24"/>
          <w:szCs w:val="20"/>
        </w:rPr>
      </w:pPr>
      <w:r>
        <w:rPr>
          <w:rFonts w:hint="eastAsia" w:ascii="宋体" w:hAnsi="宋体"/>
          <w:bCs/>
          <w:sz w:val="24"/>
          <w:szCs w:val="20"/>
        </w:rPr>
        <w:t>同等学力加试科目：1.中级财务会计学（100分）  2.财务管理学（100分）</w:t>
      </w:r>
    </w:p>
    <w:p>
      <w:pPr>
        <w:adjustRightInd w:val="0"/>
        <w:snapToGrid w:val="0"/>
        <w:rPr>
          <w:rFonts w:hint="eastAsia" w:ascii="宋体" w:hAnsi="宋体"/>
          <w:b/>
          <w:sz w:val="24"/>
          <w:szCs w:val="20"/>
        </w:rPr>
      </w:pPr>
    </w:p>
    <w:p>
      <w:pPr>
        <w:adjustRightInd w:val="0"/>
        <w:snapToGrid w:val="0"/>
        <w:rPr>
          <w:rFonts w:hint="eastAsia"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考试大纲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   </w:t>
      </w:r>
      <w:r>
        <w:rPr>
          <w:rFonts w:hint="eastAsia" w:ascii="黑体" w:hAnsi="宋体" w:eastAsia="黑体"/>
          <w:b/>
          <w:sz w:val="36"/>
          <w:szCs w:val="21"/>
        </w:rPr>
        <w:t>《管理学原理》</w:t>
      </w:r>
    </w:p>
    <w:p>
      <w:pPr>
        <w:adjustRightInd w:val="0"/>
        <w:snapToGrid w:val="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adjustRightInd w:val="0"/>
        <w:snapToGrid w:val="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《管理学原理》考试大纲概述：</w:t>
      </w:r>
    </w:p>
    <w:p>
      <w:pPr>
        <w:widowControl/>
        <w:snapToGrid w:val="0"/>
        <w:ind w:firstLine="48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内容主要包括管理的基本理论、计划、组织、领导、控制等。考察学生对管理基本概念、基本原理、理论框架、管理理论发展和发展趋势的掌握程度；注重考察学生对管理基本原理、重要管理理论的分析和运用能力；考察学生综合运用管理理论分析、思考和解决当前组织管理热点、难点问题的能力。</w:t>
      </w:r>
    </w:p>
    <w:p>
      <w:pPr>
        <w:widowControl/>
        <w:snapToGrid w:val="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ascii="Verdana" w:hAnsi="Verdana" w:cs="宋体"/>
          <w:b/>
          <w:color w:val="333333"/>
          <w:kern w:val="0"/>
          <w:sz w:val="24"/>
          <w:shd w:val="clear" w:color="auto" w:fill="FFFFFF"/>
        </w:rPr>
        <w:t>一</w:t>
      </w: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、总论</w:t>
      </w:r>
    </w:p>
    <w:p>
      <w:pPr>
        <w:widowControl/>
        <w:jc w:val="left"/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  <w:t xml:space="preserve">    管理与管理学</w:t>
      </w:r>
    </w:p>
    <w:p>
      <w:pPr>
        <w:widowControl/>
        <w:ind w:firstLine="480" w:firstLineChars="200"/>
        <w:jc w:val="left"/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  <w:t>管理思想的发展</w:t>
      </w:r>
    </w:p>
    <w:p>
      <w:pPr>
        <w:widowControl/>
        <w:ind w:firstLine="480" w:firstLineChars="200"/>
        <w:jc w:val="left"/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  <w:t>管理的基本原理</w:t>
      </w:r>
    </w:p>
    <w:p>
      <w:pPr>
        <w:widowControl/>
        <w:ind w:firstLine="480" w:firstLineChars="200"/>
        <w:jc w:val="left"/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  <w:t>管理道德与社会责任</w:t>
      </w:r>
    </w:p>
    <w:p>
      <w:pPr>
        <w:widowControl/>
        <w:ind w:firstLine="480" w:firstLineChars="200"/>
        <w:jc w:val="left"/>
        <w:rPr>
          <w:rFonts w:ascii="Verdana" w:hAnsi="Verdana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  <w:t>管理的基本方法</w:t>
      </w:r>
    </w:p>
    <w:p>
      <w:pPr>
        <w:widowControl/>
        <w:jc w:val="left"/>
        <w:rPr>
          <w:rFonts w:ascii="Verdana" w:hAnsi="Verdana" w:cs="宋体"/>
          <w:color w:val="333333"/>
          <w:kern w:val="0"/>
          <w:sz w:val="24"/>
          <w:shd w:val="clear" w:color="auto" w:fill="FFFFFF"/>
        </w:rPr>
      </w:pPr>
      <w:r>
        <w:rPr>
          <w:rFonts w:ascii="Verdana" w:hAnsi="Verdana" w:cs="宋体"/>
          <w:b/>
          <w:color w:val="333333"/>
          <w:kern w:val="0"/>
          <w:sz w:val="24"/>
          <w:shd w:val="clear" w:color="auto" w:fill="FFFFFF"/>
        </w:rPr>
        <w:t>二</w:t>
      </w: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、决策</w:t>
      </w:r>
      <w:r>
        <w:rPr>
          <w:rFonts w:ascii="Verdana" w:hAnsi="Verdana" w:cs="宋体"/>
          <w:b/>
          <w:color w:val="333333"/>
          <w:kern w:val="0"/>
          <w:sz w:val="24"/>
        </w:rPr>
        <w:br w:type="textWrapping"/>
      </w:r>
      <w:r>
        <w:rPr>
          <w:rFonts w:hint="eastAsia" w:ascii="Verdana" w:hAnsi="Verdana" w:cs="宋体"/>
          <w:color w:val="333333"/>
          <w:kern w:val="0"/>
          <w:sz w:val="24"/>
        </w:rPr>
        <w:t xml:space="preserve">    </w:t>
      </w:r>
      <w:r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  <w:t>制定决策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计划与计划工作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计划的实施</w:t>
      </w:r>
    </w:p>
    <w:p>
      <w:pPr>
        <w:widowControl/>
        <w:jc w:val="left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三、组织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组织设计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人员配备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组织力量的整合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组织变革与组织文化</w:t>
      </w:r>
    </w:p>
    <w:p>
      <w:pPr>
        <w:widowControl/>
        <w:jc w:val="left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四、领导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领导与领导者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激励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沟通</w:t>
      </w:r>
    </w:p>
    <w:p>
      <w:pPr>
        <w:widowControl/>
        <w:jc w:val="left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五、控制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控制与控制过程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控制方法</w:t>
      </w:r>
    </w:p>
    <w:p>
      <w:pPr>
        <w:widowControl/>
        <w:jc w:val="left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六、创新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管理的创新职能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企业技术创新</w:t>
      </w:r>
    </w:p>
    <w:p>
      <w:pPr>
        <w:widowControl/>
        <w:ind w:firstLine="480"/>
        <w:jc w:val="left"/>
        <w:rPr>
          <w:rFonts w:hint="eastAsia" w:ascii="Verdana" w:hAnsi="Verdana" w:cs="宋体"/>
          <w:color w:val="333333"/>
          <w:kern w:val="0"/>
          <w:sz w:val="24"/>
        </w:rPr>
      </w:pPr>
      <w:r>
        <w:rPr>
          <w:rFonts w:hint="eastAsia" w:ascii="Verdana" w:hAnsi="Verdana" w:cs="宋体"/>
          <w:color w:val="333333"/>
          <w:kern w:val="0"/>
          <w:sz w:val="24"/>
        </w:rPr>
        <w:t>企业组织创新</w:t>
      </w:r>
    </w:p>
    <w:p>
      <w:pPr>
        <w:widowControl/>
        <w:snapToGrid w:val="0"/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36"/>
          <w:szCs w:val="21"/>
        </w:rPr>
      </w:pPr>
      <w:r>
        <w:rPr>
          <w:rFonts w:hint="eastAsia" w:ascii="黑体" w:hAnsi="宋体" w:eastAsia="黑体"/>
          <w:b/>
          <w:sz w:val="36"/>
          <w:szCs w:val="21"/>
        </w:rPr>
        <w:t>《会计学综合》</w:t>
      </w:r>
    </w:p>
    <w:p>
      <w:pPr>
        <w:adjustRightInd w:val="0"/>
        <w:snapToGrid w:val="0"/>
        <w:ind w:firstLine="120" w:firstLineChars="5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《会计学综合》考试大纲概述：</w:t>
      </w:r>
    </w:p>
    <w:p>
      <w:pPr>
        <w:widowControl/>
        <w:ind w:firstLine="480"/>
        <w:jc w:val="left"/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本科目考试内容包括中级财务会计（占50%）、财务管理（占30%）和审计（占20%）三大部分。中级财务会计考查财务会计基本概念、资产、负债、所有者权益、收入、费用和利润的确认和计量，以及财务报告编制的相关理论与方法，测试学生对财务会计基本原理、基本方法的掌握程度和应用分析能力。财务管理考查财务管理内容和目标、货币时间价值、风险与报酬、筹资管理、投资管理、营运资金管理、收益分配、财务报表分析等内容，测试学生对财务管理基本原理、基本方法的掌握程度和应用分析能力。审计主要考查审计基本理论、基本方法和基本技能，包括审计基本概念、审计程序、审计方法、业务循环审计、审计报告等。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</w:p>
    <w:p>
      <w:pPr>
        <w:widowControl/>
        <w:jc w:val="left"/>
        <w:rPr>
          <w:rFonts w:ascii="宋体" w:hAnsi="宋体"/>
          <w:b/>
          <w:bCs/>
          <w:color w:val="000000"/>
          <w:sz w:val="24"/>
          <w:szCs w:val="20"/>
        </w:rPr>
      </w:pPr>
      <w:r>
        <w:rPr>
          <w:rFonts w:hint="eastAsia" w:ascii="宋体" w:hAnsi="宋体"/>
          <w:b/>
          <w:bCs/>
          <w:color w:val="000000"/>
          <w:sz w:val="24"/>
          <w:szCs w:val="20"/>
        </w:rPr>
        <w:t>第一部分  中级财务会计</w:t>
      </w:r>
    </w:p>
    <w:p>
      <w:pPr>
        <w:widowControl/>
        <w:jc w:val="left"/>
        <w:rPr>
          <w:rFonts w:hint="eastAsia" w:ascii="宋体" w:hAnsi="宋体"/>
          <w:b/>
          <w:bCs/>
          <w:color w:val="000000"/>
          <w:sz w:val="24"/>
          <w:szCs w:val="20"/>
        </w:rPr>
      </w:pPr>
      <w:r>
        <w:rPr>
          <w:rFonts w:hint="eastAsia" w:ascii="宋体" w:hAnsi="宋体"/>
          <w:b/>
          <w:bCs/>
          <w:color w:val="000000"/>
          <w:sz w:val="24"/>
          <w:szCs w:val="20"/>
        </w:rPr>
        <w:t>一、财务会计基本概念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财务会计及其特点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会计基本假设和会计确认、计量的基础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会计确认与计量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财务报告要素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二、货币资金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现金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银行存款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其他货币资金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三、存货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存货及其分类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存货的初始计量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发出存货的计量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计划成本法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存货的期末计量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存货清查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四、金融资产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金融资产及其分类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交易性金融资产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债权投资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应收款项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其他金融工具投资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金融资产的重分类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金融资产减值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五、长期股权投资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长期股权投资的初始计量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长期股权投资的后续计量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长期股权投资的转换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长期股权投资的处置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六、固定资产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固定资产概述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固定资产的初始计量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固定资产的后续计量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固定资产的处置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七、无形资产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无形资产概述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无形资产的初始计量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内部研究开发费用的确认与计量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无形资产的后续计量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无形资产的处置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八、投资性房地产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投资性房地产概述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投资性房地产的初始计量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投资性房地产的后续计量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投资性房地产的后续支出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投资性房地产与非投资性房地产的转换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投资性房地产的处置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九、资产减值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资产减值概述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资产可收回金额的计量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资产减值损失的确认和计量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资产组的认定及其减值处理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商誉减值测试及会计处理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十、负债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负债概述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流动负债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非流动负债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借款费用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债务重组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十一、所有者权益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所有者权益概述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实收资本与其他权益工具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资本公积与其他综合收益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留存收益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十二、费用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费用的概念及确认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生产成本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期间费用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十三、收入和利润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收入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利润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所得税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十四、财务报告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财务报告概述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资产负债表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利润表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现金流量表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所有者权益变动表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财务报表附注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中期财务报告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十五、会计调整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会计政策及其变更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会计估计及其变更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前期差错及其更正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资产负债表日后事项</w:t>
      </w:r>
    </w:p>
    <w:p>
      <w:pPr>
        <w:widowControl/>
        <w:ind w:firstLine="480"/>
        <w:jc w:val="left"/>
        <w:rPr>
          <w:rFonts w:ascii="宋体" w:hAnsi="宋体"/>
          <w:color w:val="000000"/>
          <w:sz w:val="24"/>
          <w:szCs w:val="20"/>
        </w:rPr>
      </w:pP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第二部分  财务管理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一、财务管理概述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财务管理的内容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财务管理的目标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财务管理的环境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二、财务管理的价值观念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货币时间价值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风险与报酬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证券估值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三、财务报表分析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财务报表分析概述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财务比率分析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四、财务战略与预算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财务战略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全面预算体系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筹资数量的预测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财务预算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五、长期筹资方式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长期筹资概述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股权性筹资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债务性筹资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混合性筹资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六、资本结构决策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资本结构的理论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资本成本的测算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杠杆利益与风险的衡量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资本结构决策分析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七、投资决策原理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长期投资概述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投资现金流量的分析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折现现金流量方法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非折现现金流量方法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投资决策指标的比较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八、投资决策实务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现实中现金流量的计算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项目投资决策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风险投资决策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通货膨胀对投资分析的影响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九、短期资产管理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营运资本管理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短期资产管理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现金管理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短期金融资产管理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应收账款管理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存货管理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十、短期筹资管理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短期筹资政策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自然性筹资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短期借款筹资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短期融资券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十一、股利理论与政策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股利及其分配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股利理论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股利政策及其选择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股票分割与股票回购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十二、公司并购管理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公司并购的概念与类型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公司并购理论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公司并购的价值评估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公司并购的支付方式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十三、公司重组、破产和清算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公司重组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财务预警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破产重组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企业清算</w:t>
      </w:r>
    </w:p>
    <w:p>
      <w:pPr>
        <w:widowControl/>
        <w:ind w:firstLine="480"/>
        <w:jc w:val="left"/>
        <w:rPr>
          <w:rFonts w:ascii="宋体" w:hAnsi="宋体"/>
          <w:color w:val="000000"/>
          <w:sz w:val="24"/>
          <w:szCs w:val="20"/>
        </w:rPr>
      </w:pP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第三部分  审计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一、总论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审计的概念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审计的产生和发展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审计的职能和特征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审计的种类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二、我国审计的组织形式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国家审计机关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内部审计机构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社会审计组织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注册会计师的职业道德和法律责任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三、审计准则与审计依据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审计准则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审计依据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四、审计程序与审计方法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审计程序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审计方法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抽样技术在审计中的应用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信息技术对审计的影响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五、审计证据与审计工作底稿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审计证据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审计工作底稿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六、审计计划、重要性与审计风险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审计计划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重要性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审计风险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七、风险评估与风险应对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风险评估程序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了解被审计单位及其内部控制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控制测试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实质性程序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八、业务循环审计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销售与收款循环审计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采购与付款循环审计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生产与存货循环审计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筹资与投资循环审计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货币资金审计</w:t>
      </w:r>
    </w:p>
    <w:p>
      <w:pPr>
        <w:widowControl/>
        <w:jc w:val="left"/>
        <w:outlineLvl w:val="0"/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Verdana" w:hAnsi="Verdana" w:cs="宋体"/>
          <w:b/>
          <w:color w:val="333333"/>
          <w:kern w:val="0"/>
          <w:sz w:val="24"/>
          <w:shd w:val="clear" w:color="auto" w:fill="FFFFFF"/>
        </w:rPr>
        <w:t>九、审计报告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出具审计报告前的工作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审计报告概述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审计意见的形成</w:t>
      </w:r>
    </w:p>
    <w:p>
      <w:pPr>
        <w:widowControl/>
        <w:ind w:firstLine="48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审计报告的内容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3NjU5OTZmZDE3MDcyZThiZjY0ZWIyMGY1ZTkxYTIifQ=="/>
  </w:docVars>
  <w:rsids>
    <w:rsidRoot w:val="002C0024"/>
    <w:rsid w:val="0003216C"/>
    <w:rsid w:val="000730AF"/>
    <w:rsid w:val="000E1F7D"/>
    <w:rsid w:val="00113E7C"/>
    <w:rsid w:val="001569E1"/>
    <w:rsid w:val="00173C64"/>
    <w:rsid w:val="00182F4B"/>
    <w:rsid w:val="001B238D"/>
    <w:rsid w:val="00267130"/>
    <w:rsid w:val="00281C62"/>
    <w:rsid w:val="00294A1C"/>
    <w:rsid w:val="002C0024"/>
    <w:rsid w:val="002C65D5"/>
    <w:rsid w:val="00306F0C"/>
    <w:rsid w:val="00307B07"/>
    <w:rsid w:val="00313823"/>
    <w:rsid w:val="00313B5C"/>
    <w:rsid w:val="00321816"/>
    <w:rsid w:val="0033311E"/>
    <w:rsid w:val="003924A8"/>
    <w:rsid w:val="003B0AE9"/>
    <w:rsid w:val="003B5F8D"/>
    <w:rsid w:val="004533C5"/>
    <w:rsid w:val="004F1909"/>
    <w:rsid w:val="0050035D"/>
    <w:rsid w:val="005A7E70"/>
    <w:rsid w:val="005B26BF"/>
    <w:rsid w:val="00644AD4"/>
    <w:rsid w:val="006638D6"/>
    <w:rsid w:val="00670985"/>
    <w:rsid w:val="006F378E"/>
    <w:rsid w:val="00787AC3"/>
    <w:rsid w:val="007F7B87"/>
    <w:rsid w:val="00825A64"/>
    <w:rsid w:val="00833A31"/>
    <w:rsid w:val="00851203"/>
    <w:rsid w:val="00864FEC"/>
    <w:rsid w:val="008A6C8B"/>
    <w:rsid w:val="008C0A08"/>
    <w:rsid w:val="00902462"/>
    <w:rsid w:val="00931DD6"/>
    <w:rsid w:val="009416F6"/>
    <w:rsid w:val="00947591"/>
    <w:rsid w:val="009548F0"/>
    <w:rsid w:val="00972744"/>
    <w:rsid w:val="009862FC"/>
    <w:rsid w:val="009930B9"/>
    <w:rsid w:val="009D07BB"/>
    <w:rsid w:val="009F35F9"/>
    <w:rsid w:val="00AB4BBB"/>
    <w:rsid w:val="00AE1E7D"/>
    <w:rsid w:val="00B010EA"/>
    <w:rsid w:val="00B46347"/>
    <w:rsid w:val="00B923E5"/>
    <w:rsid w:val="00BB3DC5"/>
    <w:rsid w:val="00BC66D9"/>
    <w:rsid w:val="00BD45A9"/>
    <w:rsid w:val="00C13615"/>
    <w:rsid w:val="00C468D7"/>
    <w:rsid w:val="00D20943"/>
    <w:rsid w:val="00D405AA"/>
    <w:rsid w:val="00D96635"/>
    <w:rsid w:val="00DE1A7B"/>
    <w:rsid w:val="00E173F7"/>
    <w:rsid w:val="00E227BD"/>
    <w:rsid w:val="00E55EAD"/>
    <w:rsid w:val="00E64789"/>
    <w:rsid w:val="00E90289"/>
    <w:rsid w:val="00EE6A7A"/>
    <w:rsid w:val="00F039CA"/>
    <w:rsid w:val="00FA185D"/>
    <w:rsid w:val="08685237"/>
    <w:rsid w:val="136D6535"/>
    <w:rsid w:val="13EC1BC1"/>
    <w:rsid w:val="142874B7"/>
    <w:rsid w:val="14665C97"/>
    <w:rsid w:val="151757C0"/>
    <w:rsid w:val="18921583"/>
    <w:rsid w:val="1C8F6836"/>
    <w:rsid w:val="29641AA1"/>
    <w:rsid w:val="311E380C"/>
    <w:rsid w:val="363E5114"/>
    <w:rsid w:val="44532AC7"/>
    <w:rsid w:val="44CC7550"/>
    <w:rsid w:val="473A53F3"/>
    <w:rsid w:val="49BC55E8"/>
    <w:rsid w:val="536709FA"/>
    <w:rsid w:val="59D76506"/>
    <w:rsid w:val="5D622CA1"/>
    <w:rsid w:val="784E629A"/>
    <w:rsid w:val="7CBC6DDD"/>
    <w:rsid w:val="7F0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6897-3386-48A4-9973-0A1717EBC4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7</Pages>
  <Words>530</Words>
  <Characters>3023</Characters>
  <Lines>25</Lines>
  <Paragraphs>7</Paragraphs>
  <TotalTime>1</TotalTime>
  <ScaleCrop>false</ScaleCrop>
  <LinksUpToDate>false</LinksUpToDate>
  <CharactersWithSpaces>3546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2023-06-01T03:04:00Z</dcterms:created>
  <dc:creator>Lenovo User</dc:creator>
  <cp:lastModifiedBy>~ing</cp:lastModifiedBy>
  <cp:lastPrinted>2016-05-17T06:30:00Z</cp:lastPrinted>
  <dcterms:modified xsi:type="dcterms:W3CDTF">2023-09-18T07:02:09Z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345B7160D5AC4BFDB715746FECB22800_13</vt:lpwstr>
  </property>
</Properties>
</file>