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仿宋_GB2312" w:hAnsi="仿宋_GB2312" w:eastAsia="仿宋_GB2312" w:cs="仿宋_GB2312"/>
          <w:b/>
          <w:sz w:val="36"/>
          <w:szCs w:val="36"/>
        </w:rPr>
      </w:pPr>
      <w:bookmarkStart w:id="7" w:name="_GoBack"/>
      <w:bookmarkEnd w:id="7"/>
      <w:r>
        <w:rPr>
          <w:rFonts w:hint="eastAsia" w:ascii="仿宋_GB2312" w:hAnsi="仿宋_GB2312" w:eastAsia="仿宋_GB2312" w:cs="仿宋_GB2312"/>
          <w:b/>
          <w:sz w:val="36"/>
          <w:szCs w:val="36"/>
        </w:rPr>
        <w:t>资产评估  025600</w:t>
      </w:r>
    </w:p>
    <w:p>
      <w:pPr>
        <w:adjustRightInd w:val="0"/>
        <w:snapToGrid w:val="0"/>
        <w:rPr>
          <w:rFonts w:hint="eastAsia" w:ascii="仿宋_GB2312" w:hAnsi="仿宋_GB2312" w:eastAsia="仿宋_GB2312" w:cs="仿宋_GB2312"/>
          <w:b/>
          <w:sz w:val="24"/>
          <w:szCs w:val="20"/>
        </w:rPr>
      </w:pPr>
    </w:p>
    <w:p>
      <w:pPr>
        <w:rPr>
          <w:rFonts w:hint="eastAsia" w:ascii="仿宋_GB2312" w:hAnsi="仿宋_GB2312" w:eastAsia="仿宋_GB2312" w:cs="仿宋_GB2312"/>
          <w:sz w:val="24"/>
          <w:szCs w:val="20"/>
        </w:rPr>
      </w:pPr>
      <w:r>
        <w:rPr>
          <w:rFonts w:hint="eastAsia" w:ascii="仿宋_GB2312" w:hAnsi="仿宋_GB2312" w:eastAsia="仿宋_GB2312" w:cs="仿宋_GB2312"/>
          <w:b/>
          <w:sz w:val="24"/>
          <w:szCs w:val="20"/>
        </w:rPr>
        <w:t>学科点简介:</w:t>
      </w:r>
      <w:r>
        <w:rPr>
          <w:rFonts w:hint="eastAsia" w:ascii="仿宋_GB2312" w:hAnsi="仿宋_GB2312" w:eastAsia="仿宋_GB2312" w:cs="仿宋_GB2312"/>
          <w:sz w:val="24"/>
          <w:szCs w:val="20"/>
        </w:rPr>
        <w:t>资产评估硕士点隶属于广东财经大学财政税务学院，为广东省首个资产评估本科人才专业，也是广东省级一流专业建设点。财政税务学院是全国资产评估高等教育实验教学研究会执行会长单位和秘书处常设单位。资产评估专业坚持协同育人培养模式，依托中国资产评估协会和广东省资产评估协会，利用资产评估中介机构的行业资源，形成了校政企协同培养模式。据《中国大学及学科专业评价报告》显示，2018年-2020年本专业位列全国资产评估专业排名前三。依托国家级实验教学示范中心（经济与管理实验教学中心）开展实验实践教学，拥有国家级和省级大学生校外实践教育基地，与广东省资产评估协会共建了广东省资产评估研究中心。现有教授14人，副教授25，其中，国务院特殊津贴专家1 人，博士生导师3人，硕士生导师39人，名誉教授2人，客座教授14人。近3年学院教师承担各类科研项目近100项，其中国家级和省部级项目27项，各类科研经费900余万元，出版专著、教材、编著9部，在《经济研究》等国内外核心刊物发表学术论文100余篇，获省部级科研奖励2人次，获省部级以上批示（采纳）19项。近年来，学院资产评估专业本科生在全国资产评估知识竞赛和行业竞赛中获奖50余人次，45位在校生全科通过资产评估师考试。</w:t>
      </w:r>
    </w:p>
    <w:p>
      <w:pPr>
        <w:rPr>
          <w:rFonts w:hint="eastAsia" w:ascii="仿宋_GB2312" w:hAnsi="仿宋_GB2312" w:eastAsia="仿宋_GB2312" w:cs="仿宋_GB2312"/>
          <w:sz w:val="24"/>
          <w:szCs w:val="20"/>
        </w:rPr>
      </w:pPr>
    </w:p>
    <w:p>
      <w:pPr>
        <w:rPr>
          <w:rFonts w:hint="eastAsia" w:ascii="仿宋_GB2312" w:hAnsi="仿宋_GB2312" w:eastAsia="仿宋_GB2312" w:cs="仿宋_GB2312"/>
          <w:sz w:val="24"/>
          <w:szCs w:val="20"/>
        </w:rPr>
      </w:pPr>
      <w:r>
        <w:rPr>
          <w:rFonts w:hint="eastAsia" w:ascii="仿宋_GB2312" w:hAnsi="仿宋_GB2312" w:eastAsia="仿宋_GB2312" w:cs="仿宋_GB2312"/>
          <w:b/>
          <w:sz w:val="24"/>
          <w:szCs w:val="20"/>
        </w:rPr>
        <w:t>培养目标:</w:t>
      </w:r>
      <w:r>
        <w:rPr>
          <w:rFonts w:hint="eastAsia" w:ascii="仿宋_GB2312" w:hAnsi="仿宋_GB2312" w:eastAsia="仿宋_GB2312" w:cs="仿宋_GB2312"/>
          <w:sz w:val="24"/>
          <w:szCs w:val="20"/>
        </w:rPr>
        <w:t xml:space="preserve"> 面向资产评估行业和对资产评估有需求的相关行业、部门和单位，培养掌握马克思主义基本原理和中国特色社会主义理论体系，具有良好的政治素质和职业道德，具有创新性思维和国际视野，德智体美劳全面发展，系统掌握资产评估基础理论，具备从事资产评估相关职业及企业管理、政府事务管理和投资银行业务等所要求的知识和技能，对资产评估实务有充分了解，具有较强的职业胜任能力和解决问题能力的创新型、复合型、应用型的高层次专业人才。</w:t>
      </w:r>
    </w:p>
    <w:p>
      <w:pPr>
        <w:rPr>
          <w:rFonts w:hint="eastAsia" w:ascii="仿宋_GB2312" w:hAnsi="仿宋_GB2312" w:eastAsia="仿宋_GB2312" w:cs="仿宋_GB2312"/>
          <w:b/>
          <w:sz w:val="24"/>
          <w:szCs w:val="20"/>
        </w:rPr>
      </w:pPr>
    </w:p>
    <w:p>
      <w:pPr>
        <w:rPr>
          <w:rFonts w:hint="eastAsia" w:ascii="仿宋_GB2312" w:hAnsi="仿宋_GB2312" w:eastAsia="仿宋_GB2312" w:cs="仿宋_GB2312"/>
          <w:sz w:val="24"/>
          <w:szCs w:val="20"/>
        </w:rPr>
      </w:pPr>
      <w:r>
        <w:rPr>
          <w:rFonts w:hint="eastAsia" w:ascii="仿宋_GB2312" w:hAnsi="仿宋_GB2312" w:eastAsia="仿宋_GB2312" w:cs="仿宋_GB2312"/>
          <w:b/>
          <w:sz w:val="24"/>
          <w:szCs w:val="20"/>
        </w:rPr>
        <w:t>主要课程:</w:t>
      </w:r>
      <w:r>
        <w:rPr>
          <w:rFonts w:hint="eastAsia" w:ascii="仿宋_GB2312" w:hAnsi="仿宋_GB2312" w:eastAsia="仿宋_GB2312" w:cs="仿宋_GB2312"/>
        </w:rPr>
        <w:t xml:space="preserve"> </w:t>
      </w:r>
      <w:r>
        <w:rPr>
          <w:rFonts w:hint="eastAsia" w:ascii="仿宋_GB2312" w:hAnsi="仿宋_GB2312" w:eastAsia="仿宋_GB2312" w:cs="仿宋_GB2312"/>
          <w:sz w:val="24"/>
          <w:szCs w:val="20"/>
        </w:rPr>
        <w:t>经济学原理、资产评估理论、中外资产评估准则、财务管理、财务报表分析、企业价值评估、房地产估价实务、无形资产评估、税基评估、财政绩效评价、机电设备评估、金融资产评估。</w:t>
      </w:r>
    </w:p>
    <w:p>
      <w:pPr>
        <w:rPr>
          <w:rFonts w:hint="eastAsia" w:ascii="仿宋_GB2312" w:hAnsi="仿宋_GB2312" w:eastAsia="仿宋_GB2312" w:cs="仿宋_GB2312"/>
          <w:sz w:val="24"/>
          <w:szCs w:val="20"/>
        </w:rPr>
      </w:pPr>
    </w:p>
    <w:p>
      <w:pPr>
        <w:adjustRightInd w:val="0"/>
        <w:snapToGrid w:val="0"/>
        <w:rPr>
          <w:rFonts w:hint="eastAsia" w:ascii="仿宋_GB2312" w:hAnsi="仿宋_GB2312" w:eastAsia="仿宋_GB2312" w:cs="仿宋_GB2312"/>
          <w:sz w:val="24"/>
          <w:szCs w:val="20"/>
        </w:rPr>
      </w:pPr>
      <w:r>
        <w:rPr>
          <w:rFonts w:hint="eastAsia" w:ascii="仿宋_GB2312" w:hAnsi="仿宋_GB2312" w:eastAsia="仿宋_GB2312" w:cs="仿宋_GB2312"/>
          <w:b/>
          <w:sz w:val="24"/>
          <w:szCs w:val="20"/>
        </w:rPr>
        <w:t>就业方向:</w:t>
      </w:r>
      <w:r>
        <w:rPr>
          <w:rFonts w:hint="eastAsia" w:ascii="仿宋_GB2312" w:hAnsi="仿宋_GB2312" w:eastAsia="仿宋_GB2312" w:cs="仿宋_GB2312"/>
          <w:sz w:val="24"/>
          <w:szCs w:val="20"/>
        </w:rPr>
        <w:t xml:space="preserve"> 资产评估及相关中介机构、财税部门、政府资产管理部门、金融机构、教学科研单位、大中型企业等，或进一步攻读相关学科的博士研究生。</w:t>
      </w:r>
    </w:p>
    <w:p>
      <w:pPr>
        <w:adjustRightInd w:val="0"/>
        <w:snapToGrid w:val="0"/>
        <w:rPr>
          <w:rFonts w:hint="eastAsia" w:ascii="仿宋_GB2312" w:hAnsi="仿宋_GB2312" w:eastAsia="仿宋_GB2312" w:cs="仿宋_GB2312"/>
          <w:sz w:val="24"/>
          <w:szCs w:val="20"/>
        </w:rPr>
      </w:pPr>
    </w:p>
    <w:p>
      <w:pPr>
        <w:adjustRightInd w:val="0"/>
        <w:snapToGrid w:val="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专业代码：025600                        咨询电话：020-84096158</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16"/>
        <w:gridCol w:w="302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828"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2916"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研究方向</w:t>
            </w:r>
          </w:p>
        </w:tc>
        <w:tc>
          <w:tcPr>
            <w:tcW w:w="3024"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初试科目</w:t>
            </w:r>
          </w:p>
        </w:tc>
        <w:tc>
          <w:tcPr>
            <w:tcW w:w="1800"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2" w:hRule="atLeast"/>
        </w:trPr>
        <w:tc>
          <w:tcPr>
            <w:tcW w:w="82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916" w:type="dxa"/>
            <w:noWrap w:val="0"/>
            <w:vAlign w:val="center"/>
          </w:tcPr>
          <w:p>
            <w:pPr>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税基评估</w:t>
            </w:r>
          </w:p>
        </w:tc>
        <w:tc>
          <w:tcPr>
            <w:tcW w:w="3024" w:type="dxa"/>
            <w:vMerge w:val="restart"/>
            <w:noWrap w:val="0"/>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（1）▲思想政治理论（100分）</w:t>
            </w:r>
          </w:p>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（2）▲英语二（100分）</w:t>
            </w:r>
          </w:p>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（3）▲396经济类综合能力（150分）</w:t>
            </w:r>
          </w:p>
          <w:p>
            <w:pPr>
              <w:rPr>
                <w:rFonts w:hint="eastAsia" w:ascii="仿宋_GB2312" w:hAnsi="仿宋_GB2312" w:eastAsia="仿宋_GB2312" w:cs="仿宋_GB2312"/>
                <w:sz w:val="24"/>
              </w:rPr>
            </w:pPr>
            <w:r>
              <w:rPr>
                <w:rFonts w:hint="eastAsia" w:ascii="仿宋_GB2312" w:hAnsi="仿宋_GB2312" w:eastAsia="仿宋_GB2312" w:cs="仿宋_GB2312"/>
                <w:sz w:val="24"/>
              </w:rPr>
              <w:t>（4）资产评估专业基础（150分）</w:t>
            </w:r>
          </w:p>
        </w:tc>
        <w:tc>
          <w:tcPr>
            <w:tcW w:w="1800"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F541-资产评估相关知识（100分）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1" w:hRule="atLeast"/>
        </w:trPr>
        <w:tc>
          <w:tcPr>
            <w:tcW w:w="82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916" w:type="dxa"/>
            <w:noWrap w:val="0"/>
            <w:vAlign w:val="center"/>
          </w:tcPr>
          <w:p>
            <w:pPr>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房地产估价</w:t>
            </w:r>
          </w:p>
        </w:tc>
        <w:tc>
          <w:tcPr>
            <w:tcW w:w="3024" w:type="dxa"/>
            <w:vMerge w:val="continue"/>
            <w:noWrap w:val="0"/>
            <w:vAlign w:val="center"/>
          </w:tcPr>
          <w:p>
            <w:pPr>
              <w:jc w:val="center"/>
              <w:rPr>
                <w:rFonts w:hint="eastAsia" w:ascii="仿宋_GB2312" w:hAnsi="仿宋_GB2312" w:eastAsia="仿宋_GB2312" w:cs="仿宋_GB2312"/>
                <w:szCs w:val="20"/>
              </w:rPr>
            </w:pPr>
          </w:p>
        </w:tc>
        <w:tc>
          <w:tcPr>
            <w:tcW w:w="1800" w:type="dxa"/>
            <w:vMerge w:val="continue"/>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4" w:hRule="atLeast"/>
        </w:trPr>
        <w:tc>
          <w:tcPr>
            <w:tcW w:w="82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2916" w:type="dxa"/>
            <w:noWrap w:val="0"/>
            <w:vAlign w:val="center"/>
          </w:tcPr>
          <w:p>
            <w:pPr>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企业价值评估</w:t>
            </w:r>
          </w:p>
        </w:tc>
        <w:tc>
          <w:tcPr>
            <w:tcW w:w="3024" w:type="dxa"/>
            <w:vMerge w:val="continue"/>
            <w:noWrap w:val="0"/>
            <w:vAlign w:val="center"/>
          </w:tcPr>
          <w:p>
            <w:pPr>
              <w:jc w:val="center"/>
              <w:rPr>
                <w:rFonts w:hint="eastAsia" w:ascii="仿宋_GB2312" w:hAnsi="仿宋_GB2312" w:eastAsia="仿宋_GB2312" w:cs="仿宋_GB2312"/>
                <w:szCs w:val="20"/>
              </w:rPr>
            </w:pPr>
          </w:p>
        </w:tc>
        <w:tc>
          <w:tcPr>
            <w:tcW w:w="1800" w:type="dxa"/>
            <w:vMerge w:val="continue"/>
            <w:noWrap w:val="0"/>
            <w:vAlign w:val="center"/>
          </w:tcPr>
          <w:p>
            <w:pPr>
              <w:jc w:val="cente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4" w:hRule="atLeast"/>
        </w:trPr>
        <w:tc>
          <w:tcPr>
            <w:tcW w:w="82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916" w:type="dxa"/>
            <w:noWrap w:val="0"/>
            <w:vAlign w:val="center"/>
          </w:tcPr>
          <w:p>
            <w:pPr>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财政绩效评价</w:t>
            </w:r>
          </w:p>
        </w:tc>
        <w:tc>
          <w:tcPr>
            <w:tcW w:w="3024" w:type="dxa"/>
            <w:vMerge w:val="continue"/>
            <w:noWrap w:val="0"/>
            <w:vAlign w:val="center"/>
          </w:tcPr>
          <w:p>
            <w:pPr>
              <w:jc w:val="center"/>
              <w:rPr>
                <w:rFonts w:hint="eastAsia" w:ascii="仿宋_GB2312" w:hAnsi="仿宋_GB2312" w:eastAsia="仿宋_GB2312" w:cs="仿宋_GB2312"/>
                <w:szCs w:val="20"/>
              </w:rPr>
            </w:pPr>
          </w:p>
        </w:tc>
        <w:tc>
          <w:tcPr>
            <w:tcW w:w="1800" w:type="dxa"/>
            <w:vMerge w:val="continue"/>
            <w:noWrap w:val="0"/>
            <w:vAlign w:val="center"/>
          </w:tcPr>
          <w:p>
            <w:pPr>
              <w:jc w:val="center"/>
              <w:rPr>
                <w:rFonts w:hint="eastAsia" w:ascii="仿宋_GB2312" w:hAnsi="仿宋_GB2312" w:eastAsia="仿宋_GB2312" w:cs="仿宋_GB2312"/>
                <w:szCs w:val="20"/>
              </w:rPr>
            </w:pPr>
          </w:p>
        </w:tc>
      </w:tr>
    </w:tbl>
    <w:p>
      <w:pPr>
        <w:adjustRightInd w:val="0"/>
        <w:snapToGrid w:val="0"/>
        <w:rPr>
          <w:rFonts w:hint="eastAsia" w:ascii="仿宋_GB2312" w:hAnsi="仿宋_GB2312" w:eastAsia="仿宋_GB2312" w:cs="仿宋_GB2312"/>
          <w:b/>
          <w:bCs/>
          <w:szCs w:val="20"/>
        </w:rPr>
      </w:pPr>
      <w:r>
        <w:rPr>
          <w:rFonts w:hint="eastAsia" w:ascii="仿宋_GB2312" w:hAnsi="仿宋_GB2312" w:eastAsia="仿宋_GB2312" w:cs="仿宋_GB2312"/>
          <w:b/>
          <w:bCs/>
          <w:szCs w:val="20"/>
        </w:rPr>
        <w:t>▲</w:t>
      </w:r>
      <w:r>
        <w:rPr>
          <w:rFonts w:hint="eastAsia" w:ascii="仿宋_GB2312" w:hAnsi="仿宋_GB2312" w:eastAsia="仿宋_GB2312" w:cs="仿宋_GB2312"/>
          <w:b/>
          <w:bCs/>
          <w:sz w:val="24"/>
          <w:szCs w:val="20"/>
        </w:rPr>
        <w:t>表示统考科目或联考科目，考试题型、考试大纲以教育部公布为准。其他为自命题科目。</w:t>
      </w:r>
    </w:p>
    <w:p>
      <w:pPr>
        <w:snapToGrid w:val="0"/>
        <w:rPr>
          <w:rFonts w:hint="eastAsia" w:ascii="仿宋_GB2312" w:hAnsi="仿宋_GB2312" w:eastAsia="仿宋_GB2312" w:cs="仿宋_GB2312"/>
          <w:b/>
          <w:sz w:val="24"/>
          <w:szCs w:val="20"/>
        </w:rPr>
      </w:pPr>
    </w:p>
    <w:p>
      <w:pPr>
        <w:snapToGrid w:val="0"/>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考试题型及相应分值：</w:t>
      </w:r>
    </w:p>
    <w:p>
      <w:pPr>
        <w:widowControl/>
        <w:snapToGrid w:val="0"/>
        <w:outlineLvl w:val="0"/>
        <w:rPr>
          <w:rFonts w:hint="eastAsia" w:ascii="仿宋_GB2312" w:hAnsi="仿宋_GB2312" w:eastAsia="仿宋_GB2312" w:cs="仿宋_GB2312"/>
          <w:b/>
          <w:kern w:val="0"/>
          <w:sz w:val="24"/>
          <w:szCs w:val="20"/>
        </w:rPr>
      </w:pPr>
      <w:r>
        <w:rPr>
          <w:rFonts w:hint="eastAsia" w:ascii="仿宋_GB2312" w:hAnsi="仿宋_GB2312" w:eastAsia="仿宋_GB2312" w:cs="仿宋_GB2312"/>
          <w:b/>
          <w:kern w:val="0"/>
          <w:sz w:val="24"/>
          <w:szCs w:val="20"/>
        </w:rPr>
        <w:t>《资产评估专业基础》</w:t>
      </w:r>
    </w:p>
    <w:p>
      <w:pPr>
        <w:shd w:val="solid" w:color="FFFFFF" w:fill="auto"/>
        <w:autoSpaceDN w:val="0"/>
        <w:adjustRightInd w:val="0"/>
        <w:snapToGrid w:val="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（1）选择题（10题，每题1分，共10分）</w:t>
      </w:r>
    </w:p>
    <w:p>
      <w:pPr>
        <w:shd w:val="solid" w:color="FFFFFF" w:fill="auto"/>
        <w:autoSpaceDN w:val="0"/>
        <w:adjustRightInd w:val="0"/>
        <w:snapToGrid w:val="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（2）名词解释（4题，每题5分，共20分）</w:t>
      </w:r>
    </w:p>
    <w:p>
      <w:pPr>
        <w:shd w:val="solid" w:color="FFFFFF" w:fill="auto"/>
        <w:autoSpaceDN w:val="0"/>
        <w:adjustRightInd w:val="0"/>
        <w:snapToGrid w:val="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（3）简答题（5题，每题10分，共50分）</w:t>
      </w:r>
    </w:p>
    <w:p>
      <w:pPr>
        <w:shd w:val="solid" w:color="FFFFFF" w:fill="auto"/>
        <w:autoSpaceDN w:val="0"/>
        <w:adjustRightInd w:val="0"/>
        <w:snapToGrid w:val="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（4）计算题（3题，每题10分，共30分）</w:t>
      </w:r>
    </w:p>
    <w:p>
      <w:pPr>
        <w:shd w:val="solid" w:color="FFFFFF" w:fill="auto"/>
        <w:autoSpaceDN w:val="0"/>
        <w:adjustRightInd w:val="0"/>
        <w:snapToGrid w:val="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（5）论述题（2题，每题20分，共40分）</w:t>
      </w:r>
    </w:p>
    <w:p>
      <w:pPr>
        <w:shd w:val="solid" w:color="FFFFFF" w:fill="auto"/>
        <w:autoSpaceDN w:val="0"/>
        <w:adjustRightInd w:val="0"/>
        <w:snapToGrid w:val="0"/>
        <w:rPr>
          <w:rFonts w:hint="eastAsia" w:ascii="仿宋_GB2312" w:hAnsi="仿宋_GB2312" w:eastAsia="仿宋_GB2312" w:cs="仿宋_GB2312"/>
          <w:sz w:val="24"/>
          <w:shd w:val="clear" w:color="auto" w:fill="FFFFFF"/>
        </w:rPr>
      </w:pPr>
    </w:p>
    <w:p>
      <w:pPr>
        <w:shd w:val="solid" w:color="FFFFFF" w:fill="auto"/>
        <w:autoSpaceDN w:val="0"/>
        <w:adjustRightInd w:val="0"/>
        <w:snapToGrid w:val="0"/>
        <w:rPr>
          <w:rFonts w:hint="eastAsia" w:ascii="仿宋_GB2312" w:hAnsi="仿宋_GB2312" w:eastAsia="仿宋_GB2312" w:cs="仿宋_GB2312"/>
          <w:sz w:val="24"/>
          <w:shd w:val="clear" w:color="auto" w:fill="FFFFFF"/>
        </w:rPr>
      </w:pPr>
      <w:bookmarkStart w:id="0" w:name="_Hlk107355759"/>
      <w:r>
        <w:rPr>
          <w:rFonts w:hint="eastAsia" w:ascii="仿宋_GB2312" w:hAnsi="仿宋_GB2312" w:eastAsia="仿宋_GB2312" w:cs="仿宋_GB2312"/>
          <w:sz w:val="24"/>
          <w:shd w:val="clear" w:color="auto" w:fill="FFFFFF"/>
        </w:rPr>
        <w:t>参考书目：</w:t>
      </w:r>
    </w:p>
    <w:p>
      <w:pPr>
        <w:shd w:val="solid" w:color="FFFFFF" w:fill="auto"/>
        <w:autoSpaceDN w:val="0"/>
        <w:adjustRightInd w:val="0"/>
        <w:snapToGrid w:val="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w:t>
      </w:r>
      <w:r>
        <w:rPr>
          <w:rFonts w:hint="eastAsia" w:ascii="仿宋_GB2312" w:hAnsi="仿宋_GB2312" w:eastAsia="仿宋_GB2312" w:cs="仿宋_GB2312"/>
        </w:rPr>
        <w:t xml:space="preserve"> </w:t>
      </w:r>
      <w:r>
        <w:rPr>
          <w:rFonts w:hint="eastAsia" w:ascii="仿宋_GB2312" w:hAnsi="仿宋_GB2312" w:eastAsia="仿宋_GB2312" w:cs="仿宋_GB2312"/>
          <w:sz w:val="24"/>
          <w:shd w:val="clear" w:color="auto" w:fill="FFFFFF"/>
        </w:rPr>
        <w:t>中国资产评估协会编：《资产评估基础》，中国财政经济出版社，2023年4月</w:t>
      </w:r>
    </w:p>
    <w:p>
      <w:pPr>
        <w:shd w:val="solid" w:color="FFFFFF" w:fill="auto"/>
        <w:autoSpaceDN w:val="0"/>
        <w:adjustRightInd w:val="0"/>
        <w:snapToGrid w:val="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w:t>
      </w:r>
      <w:r>
        <w:rPr>
          <w:rFonts w:hint="eastAsia" w:ascii="仿宋_GB2312" w:hAnsi="仿宋_GB2312" w:eastAsia="仿宋_GB2312" w:cs="仿宋_GB2312"/>
        </w:rPr>
        <w:t xml:space="preserve"> </w:t>
      </w:r>
      <w:r>
        <w:rPr>
          <w:rFonts w:hint="eastAsia" w:ascii="仿宋_GB2312" w:hAnsi="仿宋_GB2312" w:eastAsia="仿宋_GB2312" w:cs="仿宋_GB2312"/>
          <w:sz w:val="24"/>
          <w:shd w:val="clear" w:color="auto" w:fill="FFFFFF"/>
        </w:rPr>
        <w:t>乔志敏、王晓荣：《资产评估学教程》（第七版），中国人民大学出版社，2020年7月</w:t>
      </w:r>
    </w:p>
    <w:bookmarkEnd w:id="0"/>
    <w:p>
      <w:pPr>
        <w:shd w:val="solid" w:color="FFFFFF" w:fill="auto"/>
        <w:autoSpaceDN w:val="0"/>
        <w:adjustRightInd w:val="0"/>
        <w:snapToGrid w:val="0"/>
        <w:rPr>
          <w:rFonts w:hint="eastAsia" w:ascii="仿宋_GB2312" w:hAnsi="仿宋_GB2312" w:eastAsia="仿宋_GB2312" w:cs="仿宋_GB2312"/>
          <w:sz w:val="24"/>
          <w:shd w:val="clear" w:color="auto" w:fill="FFFFFF"/>
        </w:rPr>
      </w:pPr>
    </w:p>
    <w:p>
      <w:pP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《资产评估相关知识》</w:t>
      </w:r>
    </w:p>
    <w:p>
      <w:pPr>
        <w:adjustRightInd w:val="0"/>
        <w:snapToGrid w:val="0"/>
        <w:ind w:firstLine="120" w:firstLineChars="50"/>
        <w:jc w:val="left"/>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（1）材料分析题（</w:t>
      </w:r>
      <w:r>
        <w:rPr>
          <w:rFonts w:ascii="仿宋_GB2312" w:hAnsi="仿宋_GB2312" w:eastAsia="仿宋_GB2312" w:cs="仿宋_GB2312"/>
          <w:sz w:val="24"/>
          <w:szCs w:val="20"/>
        </w:rPr>
        <w:t>3</w:t>
      </w:r>
      <w:r>
        <w:rPr>
          <w:rFonts w:hint="eastAsia" w:ascii="仿宋_GB2312" w:hAnsi="仿宋_GB2312" w:eastAsia="仿宋_GB2312" w:cs="仿宋_GB2312"/>
          <w:sz w:val="24"/>
          <w:szCs w:val="20"/>
        </w:rPr>
        <w:t>题，每题10分，共</w:t>
      </w:r>
      <w:r>
        <w:rPr>
          <w:rFonts w:ascii="仿宋_GB2312" w:hAnsi="仿宋_GB2312" w:eastAsia="仿宋_GB2312" w:cs="仿宋_GB2312"/>
          <w:sz w:val="24"/>
          <w:szCs w:val="20"/>
        </w:rPr>
        <w:t>3</w:t>
      </w:r>
      <w:r>
        <w:rPr>
          <w:rFonts w:hint="eastAsia" w:ascii="仿宋_GB2312" w:hAnsi="仿宋_GB2312" w:eastAsia="仿宋_GB2312" w:cs="仿宋_GB2312"/>
          <w:sz w:val="24"/>
          <w:szCs w:val="20"/>
        </w:rPr>
        <w:t>0分）</w:t>
      </w:r>
    </w:p>
    <w:p>
      <w:pPr>
        <w:adjustRightInd w:val="0"/>
        <w:snapToGrid w:val="0"/>
        <w:ind w:firstLine="120" w:firstLineChars="50"/>
        <w:jc w:val="left"/>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（2）计算题（3题，每题10分，共30分）</w:t>
      </w:r>
    </w:p>
    <w:p>
      <w:pPr>
        <w:adjustRightInd w:val="0"/>
        <w:snapToGrid w:val="0"/>
        <w:ind w:firstLine="120" w:firstLineChars="50"/>
        <w:jc w:val="left"/>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（3）论述题（</w:t>
      </w:r>
      <w:r>
        <w:rPr>
          <w:rFonts w:ascii="仿宋_GB2312" w:hAnsi="仿宋_GB2312" w:eastAsia="仿宋_GB2312" w:cs="仿宋_GB2312"/>
          <w:sz w:val="24"/>
          <w:szCs w:val="20"/>
        </w:rPr>
        <w:t>2</w:t>
      </w:r>
      <w:r>
        <w:rPr>
          <w:rFonts w:hint="eastAsia" w:ascii="仿宋_GB2312" w:hAnsi="仿宋_GB2312" w:eastAsia="仿宋_GB2312" w:cs="仿宋_GB2312"/>
          <w:sz w:val="24"/>
          <w:szCs w:val="20"/>
        </w:rPr>
        <w:t>题，每题20分，共</w:t>
      </w:r>
      <w:r>
        <w:rPr>
          <w:rFonts w:ascii="仿宋_GB2312" w:hAnsi="仿宋_GB2312" w:eastAsia="仿宋_GB2312" w:cs="仿宋_GB2312"/>
          <w:sz w:val="24"/>
          <w:szCs w:val="20"/>
        </w:rPr>
        <w:t>4</w:t>
      </w:r>
      <w:r>
        <w:rPr>
          <w:rFonts w:hint="eastAsia" w:ascii="仿宋_GB2312" w:hAnsi="仿宋_GB2312" w:eastAsia="仿宋_GB2312" w:cs="仿宋_GB2312"/>
          <w:sz w:val="24"/>
          <w:szCs w:val="20"/>
        </w:rPr>
        <w:t>0分）</w:t>
      </w:r>
    </w:p>
    <w:p>
      <w:pPr>
        <w:adjustRightInd w:val="0"/>
        <w:snapToGrid w:val="0"/>
        <w:ind w:firstLine="120" w:firstLineChars="50"/>
        <w:jc w:val="left"/>
        <w:rPr>
          <w:rFonts w:hint="eastAsia" w:ascii="仿宋_GB2312" w:hAnsi="仿宋_GB2312" w:eastAsia="仿宋_GB2312" w:cs="仿宋_GB2312"/>
          <w:sz w:val="24"/>
          <w:szCs w:val="20"/>
        </w:rPr>
      </w:pPr>
    </w:p>
    <w:p>
      <w:pPr>
        <w:shd w:val="solid" w:color="FFFFFF" w:fill="auto"/>
        <w:autoSpaceDN w:val="0"/>
        <w:adjustRightInd w:val="0"/>
        <w:snapToGrid w:val="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参考书目：《资产评估相关知识》，中国资产评估协会编，中国财政经济出版社，2023年4月。</w:t>
      </w:r>
    </w:p>
    <w:p>
      <w:pPr>
        <w:shd w:val="solid" w:color="FFFFFF" w:fill="auto"/>
        <w:autoSpaceDN w:val="0"/>
        <w:adjustRightInd w:val="0"/>
        <w:snapToGrid w:val="0"/>
        <w:rPr>
          <w:rFonts w:hint="eastAsia" w:ascii="仿宋_GB2312" w:hAnsi="仿宋_GB2312" w:eastAsia="仿宋_GB2312" w:cs="仿宋_GB2312"/>
          <w:b/>
          <w:sz w:val="24"/>
          <w:szCs w:val="20"/>
        </w:rPr>
      </w:pPr>
    </w:p>
    <w:p>
      <w:pPr>
        <w:adjustRightInd w:val="0"/>
        <w:snapToGrid w:val="0"/>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考试大纲</w:t>
      </w:r>
    </w:p>
    <w:p>
      <w:pPr>
        <w:adjustRightInd w:val="0"/>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kern w:val="0"/>
          <w:sz w:val="24"/>
        </w:rPr>
        <w:t xml:space="preserve">    </w:t>
      </w:r>
      <w:r>
        <w:rPr>
          <w:rFonts w:hint="eastAsia" w:ascii="仿宋_GB2312" w:hAnsi="仿宋_GB2312" w:eastAsia="仿宋_GB2312" w:cs="仿宋_GB2312"/>
          <w:b/>
          <w:sz w:val="36"/>
          <w:szCs w:val="21"/>
        </w:rPr>
        <w:t>《资产评估专业基础》</w:t>
      </w:r>
    </w:p>
    <w:p>
      <w:pPr>
        <w:adjustRightInd w:val="0"/>
        <w:snapToGrid w:val="0"/>
        <w:rPr>
          <w:rFonts w:hint="eastAsia" w:ascii="仿宋_GB2312" w:hAnsi="仿宋_GB2312" w:eastAsia="仿宋_GB2312" w:cs="仿宋_GB2312"/>
          <w:b/>
          <w:kern w:val="0"/>
          <w:sz w:val="24"/>
        </w:rPr>
      </w:pPr>
    </w:p>
    <w:p>
      <w:pPr>
        <w:adjustRightInd w:val="0"/>
        <w:snapToGrid w:val="0"/>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《资产评估专业基础》考试大纲概述：</w:t>
      </w:r>
    </w:p>
    <w:p>
      <w:pPr>
        <w:widowControl/>
        <w:snapToGrid w:val="0"/>
        <w:ind w:firstLine="480" w:firstLineChars="20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主要内容为资产评估基础，包括法律制度与准则，基本事项，评估程序，评估方法，包括成本法、市场法、收益法的模型与应用，评估报告与档案，职业道德与法律责任，国际和国外评估准则；主要资产类型，包括机器设备、房地产、无形资产、流动资产、长期投资以及企业价值的性质、特点、评估模型与方法、评估方法的应用。</w:t>
      </w:r>
    </w:p>
    <w:p>
      <w:pPr>
        <w:widowControl/>
        <w:snapToGrid w:val="0"/>
        <w:ind w:firstLine="482" w:firstLineChars="200"/>
        <w:rPr>
          <w:rFonts w:hint="eastAsia" w:ascii="仿宋_GB2312" w:hAnsi="仿宋_GB2312" w:eastAsia="仿宋_GB2312" w:cs="仿宋_GB2312"/>
          <w:b/>
          <w:bCs/>
          <w:sz w:val="24"/>
          <w:shd w:val="clear" w:color="auto" w:fill="FFFFFF"/>
        </w:rPr>
      </w:pPr>
    </w:p>
    <w:p>
      <w:pPr>
        <w:widowControl/>
        <w:jc w:val="left"/>
        <w:outlineLvl w:val="0"/>
        <w:rPr>
          <w:rFonts w:hint="eastAsia" w:ascii="仿宋_GB2312" w:hAnsi="仿宋_GB2312" w:eastAsia="仿宋_GB2312" w:cs="仿宋_GB2312"/>
          <w:b/>
          <w:kern w:val="0"/>
          <w:sz w:val="24"/>
          <w:shd w:val="clear" w:color="auto" w:fill="FFFFFF"/>
        </w:rPr>
      </w:pPr>
      <w:r>
        <w:rPr>
          <w:rFonts w:hint="eastAsia" w:ascii="仿宋_GB2312" w:hAnsi="仿宋_GB2312" w:eastAsia="仿宋_GB2312" w:cs="仿宋_GB2312"/>
          <w:b/>
          <w:kern w:val="0"/>
          <w:sz w:val="24"/>
          <w:shd w:val="clear" w:color="auto" w:fill="FFFFFF"/>
        </w:rPr>
        <w:t>一、资产评估基础</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1.资产评估法律制度与准则</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2.资产评估基本事项</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3.资产评估程序</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4.资产评估方法</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5.资产评估报告与档案</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6.资产评估的职业道德与法律责任</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7</w:t>
      </w:r>
      <w:bookmarkStart w:id="1" w:name="_Hlk107360280"/>
      <w:r>
        <w:rPr>
          <w:rFonts w:hint="eastAsia" w:ascii="仿宋_GB2312" w:hAnsi="仿宋_GB2312" w:eastAsia="仿宋_GB2312" w:cs="仿宋_GB2312"/>
          <w:sz w:val="24"/>
          <w:shd w:val="clear" w:color="auto" w:fill="FFFFFF"/>
        </w:rPr>
        <w:t>.</w:t>
      </w:r>
      <w:bookmarkEnd w:id="1"/>
      <w:r>
        <w:rPr>
          <w:rFonts w:hint="eastAsia" w:ascii="仿宋_GB2312" w:hAnsi="仿宋_GB2312" w:eastAsia="仿宋_GB2312" w:cs="仿宋_GB2312"/>
          <w:sz w:val="24"/>
          <w:shd w:val="clear" w:color="auto" w:fill="FFFFFF"/>
        </w:rPr>
        <w:t>国际和国外评估准则</w:t>
      </w:r>
    </w:p>
    <w:p>
      <w:pPr>
        <w:adjustRightInd w:val="0"/>
        <w:snapToGrid w:val="0"/>
        <w:ind w:firstLine="482" w:firstLineChars="200"/>
        <w:jc w:val="left"/>
        <w:rPr>
          <w:rFonts w:hint="eastAsia" w:ascii="仿宋_GB2312" w:hAnsi="仿宋_GB2312" w:eastAsia="仿宋_GB2312" w:cs="仿宋_GB2312"/>
          <w:b/>
          <w:bCs/>
          <w:sz w:val="24"/>
          <w:shd w:val="clear" w:color="auto" w:fill="FFFFFF"/>
        </w:rPr>
      </w:pPr>
    </w:p>
    <w:p>
      <w:pPr>
        <w:widowControl/>
        <w:jc w:val="left"/>
        <w:outlineLvl w:val="0"/>
        <w:rPr>
          <w:rFonts w:hint="eastAsia" w:ascii="仿宋_GB2312" w:hAnsi="仿宋_GB2312" w:eastAsia="仿宋_GB2312" w:cs="仿宋_GB2312"/>
          <w:b/>
          <w:bCs/>
          <w:sz w:val="24"/>
          <w:shd w:val="clear" w:color="auto" w:fill="FFFFFF"/>
        </w:rPr>
      </w:pPr>
      <w:r>
        <w:rPr>
          <w:rFonts w:hint="eastAsia" w:ascii="仿宋_GB2312" w:hAnsi="仿宋_GB2312" w:eastAsia="仿宋_GB2312" w:cs="仿宋_GB2312"/>
          <w:b/>
          <w:kern w:val="0"/>
          <w:sz w:val="24"/>
          <w:shd w:val="clear" w:color="auto" w:fill="FFFFFF"/>
        </w:rPr>
        <w:t>二、机器设备评估</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1.机器设备的含义、特点和分类</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2.机器设备评估的成本法</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3.机器设备评估的市场法</w:t>
      </w:r>
    </w:p>
    <w:p>
      <w:pPr>
        <w:adjustRightInd w:val="0"/>
        <w:snapToGrid w:val="0"/>
        <w:ind w:firstLine="482" w:firstLineChars="200"/>
        <w:jc w:val="left"/>
        <w:rPr>
          <w:rFonts w:hint="eastAsia" w:ascii="仿宋_GB2312" w:hAnsi="仿宋_GB2312" w:eastAsia="仿宋_GB2312" w:cs="仿宋_GB2312"/>
          <w:b/>
          <w:bCs/>
          <w:sz w:val="24"/>
          <w:shd w:val="clear" w:color="auto" w:fill="FFFFFF"/>
        </w:rPr>
      </w:pPr>
    </w:p>
    <w:p>
      <w:pPr>
        <w:widowControl/>
        <w:jc w:val="left"/>
        <w:outlineLvl w:val="0"/>
        <w:rPr>
          <w:rFonts w:hint="eastAsia" w:ascii="仿宋_GB2312" w:hAnsi="仿宋_GB2312" w:eastAsia="仿宋_GB2312" w:cs="仿宋_GB2312"/>
          <w:b/>
          <w:kern w:val="0"/>
          <w:sz w:val="24"/>
          <w:shd w:val="clear" w:color="auto" w:fill="FFFFFF"/>
        </w:rPr>
      </w:pPr>
      <w:r>
        <w:rPr>
          <w:rFonts w:hint="eastAsia" w:ascii="仿宋_GB2312" w:hAnsi="仿宋_GB2312" w:eastAsia="仿宋_GB2312" w:cs="仿宋_GB2312"/>
          <w:b/>
          <w:kern w:val="0"/>
          <w:sz w:val="24"/>
          <w:shd w:val="clear" w:color="auto" w:fill="FFFFFF"/>
        </w:rPr>
        <w:t>三、房地产评估</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1.房地产及房地产市场的概念和特征</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2.房地产价格的特性、种类和影响因素</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3.房地产评估的成本法</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4.房地产评估的收益法</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5.房地产评估的市场法</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6.房地产评估的假设开发法</w:t>
      </w:r>
    </w:p>
    <w:p>
      <w:pPr>
        <w:adjustRightInd w:val="0"/>
        <w:snapToGrid w:val="0"/>
        <w:ind w:firstLine="482" w:firstLineChars="200"/>
        <w:jc w:val="left"/>
        <w:rPr>
          <w:rFonts w:hint="eastAsia" w:ascii="仿宋_GB2312" w:hAnsi="仿宋_GB2312" w:eastAsia="仿宋_GB2312" w:cs="仿宋_GB2312"/>
          <w:b/>
          <w:bCs/>
          <w:sz w:val="24"/>
          <w:shd w:val="clear" w:color="auto" w:fill="FFFFFF"/>
        </w:rPr>
      </w:pPr>
    </w:p>
    <w:p>
      <w:pPr>
        <w:widowControl/>
        <w:jc w:val="left"/>
        <w:outlineLvl w:val="0"/>
        <w:rPr>
          <w:rFonts w:hint="eastAsia" w:ascii="仿宋_GB2312" w:hAnsi="仿宋_GB2312" w:eastAsia="仿宋_GB2312" w:cs="仿宋_GB2312"/>
          <w:b/>
          <w:kern w:val="0"/>
          <w:sz w:val="24"/>
          <w:shd w:val="clear" w:color="auto" w:fill="FFFFFF"/>
        </w:rPr>
      </w:pPr>
      <w:r>
        <w:rPr>
          <w:rFonts w:hint="eastAsia" w:ascii="仿宋_GB2312" w:hAnsi="仿宋_GB2312" w:eastAsia="仿宋_GB2312" w:cs="仿宋_GB2312"/>
          <w:b/>
          <w:kern w:val="0"/>
          <w:sz w:val="24"/>
          <w:shd w:val="clear" w:color="auto" w:fill="FFFFFF"/>
        </w:rPr>
        <w:t>四、无形资产评估</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1.无形资产的概念、分类与特点</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2.无形资产评估的特点、前提和程序</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3.无形资产评估的成本法</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4.无形资产评估的收益法</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5.无形资产评估的市场法</w:t>
      </w:r>
    </w:p>
    <w:p>
      <w:pPr>
        <w:adjustRightInd w:val="0"/>
        <w:snapToGrid w:val="0"/>
        <w:ind w:firstLine="482" w:firstLineChars="200"/>
        <w:jc w:val="left"/>
        <w:rPr>
          <w:rFonts w:hint="eastAsia" w:ascii="仿宋_GB2312" w:hAnsi="仿宋_GB2312" w:eastAsia="仿宋_GB2312" w:cs="仿宋_GB2312"/>
          <w:b/>
          <w:bCs/>
          <w:sz w:val="24"/>
          <w:shd w:val="clear" w:color="auto" w:fill="FFFFFF"/>
        </w:rPr>
      </w:pPr>
    </w:p>
    <w:p>
      <w:pPr>
        <w:widowControl/>
        <w:jc w:val="left"/>
        <w:outlineLvl w:val="0"/>
        <w:rPr>
          <w:rFonts w:hint="eastAsia" w:ascii="仿宋_GB2312" w:hAnsi="仿宋_GB2312" w:eastAsia="仿宋_GB2312" w:cs="仿宋_GB2312"/>
          <w:b/>
          <w:kern w:val="0"/>
          <w:sz w:val="24"/>
          <w:shd w:val="clear" w:color="auto" w:fill="FFFFFF"/>
        </w:rPr>
      </w:pPr>
      <w:r>
        <w:rPr>
          <w:rFonts w:hint="eastAsia" w:ascii="仿宋_GB2312" w:hAnsi="仿宋_GB2312" w:eastAsia="仿宋_GB2312" w:cs="仿宋_GB2312"/>
          <w:b/>
          <w:kern w:val="0"/>
          <w:sz w:val="24"/>
          <w:shd w:val="clear" w:color="auto" w:fill="FFFFFF"/>
        </w:rPr>
        <w:t>五、流动资产评估</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1.流动资产评估的概念、特点和程序</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2.实物类流动资产评估</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3.债权类流动资产评估</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4.待摊费用评估</w:t>
      </w:r>
    </w:p>
    <w:p>
      <w:pPr>
        <w:adjustRightInd w:val="0"/>
        <w:snapToGrid w:val="0"/>
        <w:ind w:firstLine="482" w:firstLineChars="200"/>
        <w:jc w:val="left"/>
        <w:rPr>
          <w:rFonts w:hint="eastAsia" w:ascii="仿宋_GB2312" w:hAnsi="仿宋_GB2312" w:eastAsia="仿宋_GB2312" w:cs="仿宋_GB2312"/>
          <w:b/>
          <w:bCs/>
          <w:sz w:val="24"/>
          <w:shd w:val="clear" w:color="auto" w:fill="FFFFFF"/>
        </w:rPr>
      </w:pPr>
    </w:p>
    <w:p>
      <w:pPr>
        <w:widowControl/>
        <w:jc w:val="left"/>
        <w:outlineLvl w:val="0"/>
        <w:rPr>
          <w:rFonts w:hint="eastAsia" w:ascii="仿宋_GB2312" w:hAnsi="仿宋_GB2312" w:eastAsia="仿宋_GB2312" w:cs="仿宋_GB2312"/>
          <w:b/>
          <w:kern w:val="0"/>
          <w:sz w:val="24"/>
          <w:shd w:val="clear" w:color="auto" w:fill="FFFFFF"/>
        </w:rPr>
      </w:pPr>
      <w:r>
        <w:rPr>
          <w:rFonts w:hint="eastAsia" w:ascii="仿宋_GB2312" w:hAnsi="仿宋_GB2312" w:eastAsia="仿宋_GB2312" w:cs="仿宋_GB2312"/>
          <w:b/>
          <w:kern w:val="0"/>
          <w:sz w:val="24"/>
          <w:shd w:val="clear" w:color="auto" w:fill="FFFFFF"/>
        </w:rPr>
        <w:t>六、长期投资评估</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1.长期投资评估的概念、特点和程序</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2.长期债权投资评估</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3.长期股权投资评估</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4.长期待摊费用评估</w:t>
      </w:r>
    </w:p>
    <w:p>
      <w:pPr>
        <w:adjustRightInd w:val="0"/>
        <w:snapToGrid w:val="0"/>
        <w:ind w:firstLine="482" w:firstLineChars="200"/>
        <w:jc w:val="left"/>
        <w:rPr>
          <w:rFonts w:hint="eastAsia" w:ascii="仿宋_GB2312" w:hAnsi="仿宋_GB2312" w:eastAsia="仿宋_GB2312" w:cs="仿宋_GB2312"/>
          <w:b/>
          <w:bCs/>
          <w:sz w:val="24"/>
          <w:shd w:val="clear" w:color="auto" w:fill="FFFFFF"/>
        </w:rPr>
      </w:pPr>
    </w:p>
    <w:p>
      <w:pPr>
        <w:widowControl/>
        <w:jc w:val="left"/>
        <w:outlineLvl w:val="0"/>
        <w:rPr>
          <w:rFonts w:hint="eastAsia" w:ascii="仿宋_GB2312" w:hAnsi="仿宋_GB2312" w:eastAsia="仿宋_GB2312" w:cs="仿宋_GB2312"/>
          <w:b/>
          <w:kern w:val="0"/>
          <w:sz w:val="24"/>
          <w:shd w:val="clear" w:color="auto" w:fill="FFFFFF"/>
        </w:rPr>
      </w:pPr>
      <w:r>
        <w:rPr>
          <w:rFonts w:hint="eastAsia" w:ascii="仿宋_GB2312" w:hAnsi="仿宋_GB2312" w:eastAsia="仿宋_GB2312" w:cs="仿宋_GB2312"/>
          <w:b/>
          <w:kern w:val="0"/>
          <w:sz w:val="24"/>
          <w:shd w:val="clear" w:color="auto" w:fill="FFFFFF"/>
        </w:rPr>
        <w:t>七、企业价值评估</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1.企业价值评估的概念、特点、程序与用途</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2.企业价值评估的资产基础法</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3.企业价值评估的收益法</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4.企业价值评估的市场法</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5.企业价值评估的期权法</w:t>
      </w:r>
    </w:p>
    <w:p>
      <w:pPr>
        <w:adjustRightInd w:val="0"/>
        <w:snapToGrid w:val="0"/>
        <w:jc w:val="center"/>
        <w:rPr>
          <w:rFonts w:hint="eastAsia" w:ascii="仿宋_GB2312" w:hAnsi="仿宋_GB2312" w:eastAsia="仿宋_GB2312" w:cs="仿宋_GB2312"/>
          <w:b/>
          <w:bCs/>
          <w:kern w:val="0"/>
          <w:sz w:val="36"/>
          <w:szCs w:val="36"/>
        </w:rPr>
      </w:pPr>
    </w:p>
    <w:p>
      <w:pPr>
        <w:adjustRightInd w:val="0"/>
        <w:snapToGrid w:val="0"/>
        <w:jc w:val="center"/>
        <w:rPr>
          <w:rFonts w:hint="eastAsia" w:ascii="仿宋_GB2312" w:hAnsi="仿宋_GB2312" w:eastAsia="仿宋_GB2312" w:cs="仿宋_GB2312"/>
          <w:b/>
          <w:sz w:val="36"/>
          <w:szCs w:val="21"/>
        </w:rPr>
      </w:pPr>
      <w:r>
        <w:rPr>
          <w:rFonts w:hint="eastAsia" w:ascii="仿宋_GB2312" w:hAnsi="仿宋_GB2312" w:eastAsia="仿宋_GB2312" w:cs="仿宋_GB2312"/>
          <w:b/>
          <w:sz w:val="36"/>
          <w:szCs w:val="21"/>
        </w:rPr>
        <w:t>《资产评估相关知识》</w:t>
      </w:r>
    </w:p>
    <w:p>
      <w:pPr>
        <w:adjustRightInd w:val="0"/>
        <w:snapToGrid w:val="0"/>
        <w:ind w:firstLine="120" w:firstLineChars="50"/>
        <w:rPr>
          <w:rFonts w:hint="eastAsia" w:ascii="仿宋_GB2312" w:hAnsi="仿宋_GB2312" w:eastAsia="仿宋_GB2312" w:cs="仿宋_GB2312"/>
          <w:b/>
          <w:kern w:val="0"/>
          <w:sz w:val="24"/>
        </w:rPr>
      </w:pPr>
    </w:p>
    <w:p>
      <w:pPr>
        <w:adjustRightInd w:val="0"/>
        <w:snapToGrid w:val="0"/>
        <w:ind w:firstLine="120" w:firstLineChars="50"/>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《资产评估相关知识》考试大纲概述：</w:t>
      </w:r>
    </w:p>
    <w:p>
      <w:pPr>
        <w:widowControl/>
        <w:ind w:firstLine="482"/>
        <w:jc w:val="left"/>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主要包括会计知识、财务管理和经济法。会计知识部分需掌握会计基本原理、资产、负债、所有者权益、收入、费用和利润、财务报表、会计政策及其变更、会计估计及其变更、资产负债表日后事项等基本知识和会计处理；财务管理部分需掌握财务管理基础、财务分析、预测与预算、投资管理与方法、筹资与分配管理等；经济法部分需掌握企业法律制度、物权法律制度、金融法律制度、企业国有资产法律制度、税收法律制度。</w:t>
      </w:r>
    </w:p>
    <w:p>
      <w:pPr>
        <w:widowControl/>
        <w:ind w:firstLine="480"/>
        <w:jc w:val="left"/>
        <w:rPr>
          <w:rFonts w:hint="eastAsia" w:ascii="仿宋_GB2312" w:hAnsi="仿宋_GB2312" w:eastAsia="仿宋_GB2312" w:cs="仿宋_GB2312"/>
          <w:sz w:val="24"/>
          <w:szCs w:val="20"/>
        </w:rPr>
      </w:pPr>
    </w:p>
    <w:p>
      <w:pPr>
        <w:widowControl/>
        <w:jc w:val="left"/>
        <w:outlineLvl w:val="0"/>
        <w:rPr>
          <w:rFonts w:hint="eastAsia" w:ascii="仿宋_GB2312" w:hAnsi="仿宋_GB2312" w:eastAsia="仿宋_GB2312" w:cs="仿宋_GB2312"/>
          <w:b/>
          <w:kern w:val="0"/>
          <w:sz w:val="24"/>
          <w:shd w:val="clear" w:color="auto" w:fill="FFFFFF"/>
        </w:rPr>
      </w:pPr>
      <w:r>
        <w:rPr>
          <w:rFonts w:hint="eastAsia" w:ascii="仿宋_GB2312" w:hAnsi="仿宋_GB2312" w:eastAsia="仿宋_GB2312" w:cs="仿宋_GB2312"/>
          <w:b/>
          <w:kern w:val="0"/>
          <w:sz w:val="24"/>
          <w:shd w:val="clear" w:color="auto" w:fill="FFFFFF"/>
        </w:rPr>
        <w:t xml:space="preserve">一、会计知识 </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w:t>
      </w:r>
      <w:bookmarkStart w:id="2" w:name="_Hlk107360890"/>
      <w:r>
        <w:rPr>
          <w:rFonts w:hint="eastAsia" w:ascii="仿宋_GB2312" w:hAnsi="仿宋_GB2312" w:eastAsia="仿宋_GB2312" w:cs="仿宋_GB2312"/>
          <w:sz w:val="24"/>
          <w:shd w:val="clear" w:color="auto" w:fill="FFFFFF"/>
        </w:rPr>
        <w:t>会计基本原理</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2.资产的</w:t>
      </w:r>
      <w:bookmarkStart w:id="3" w:name="_Hlk107360972"/>
      <w:r>
        <w:rPr>
          <w:rFonts w:hint="eastAsia" w:ascii="仿宋_GB2312" w:hAnsi="仿宋_GB2312" w:eastAsia="仿宋_GB2312" w:cs="仿宋_GB2312"/>
          <w:sz w:val="24"/>
          <w:shd w:val="clear" w:color="auto" w:fill="FFFFFF"/>
        </w:rPr>
        <w:t>基本知识和会计处理</w:t>
      </w:r>
      <w:bookmarkEnd w:id="3"/>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3.负债的基本知识和会计处理</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4.所有者权益的基本知识和会计处理</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5.收入、费用和利润的基本知识和会计处理</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6.财务报表、会计政策及其变更、会计估计及其变更、资产负债表日后事项</w:t>
      </w:r>
    </w:p>
    <w:p>
      <w:pPr>
        <w:widowControl/>
        <w:jc w:val="left"/>
        <w:rPr>
          <w:rFonts w:hint="eastAsia" w:ascii="仿宋_GB2312" w:hAnsi="仿宋_GB2312" w:eastAsia="仿宋_GB2312" w:cs="仿宋_GB2312"/>
          <w:b/>
          <w:kern w:val="0"/>
          <w:sz w:val="24"/>
          <w:shd w:val="clear" w:color="auto" w:fill="FFFFFF"/>
        </w:rPr>
      </w:pPr>
    </w:p>
    <w:bookmarkEnd w:id="2"/>
    <w:p>
      <w:pPr>
        <w:widowControl/>
        <w:jc w:val="left"/>
        <w:outlineLvl w:val="0"/>
        <w:rPr>
          <w:rFonts w:hint="eastAsia" w:ascii="仿宋_GB2312" w:hAnsi="仿宋_GB2312" w:eastAsia="仿宋_GB2312" w:cs="仿宋_GB2312"/>
          <w:b/>
          <w:kern w:val="0"/>
          <w:sz w:val="24"/>
          <w:shd w:val="clear" w:color="auto" w:fill="FFFFFF"/>
        </w:rPr>
      </w:pPr>
      <w:r>
        <w:rPr>
          <w:rFonts w:hint="eastAsia" w:ascii="仿宋_GB2312" w:hAnsi="仿宋_GB2312" w:eastAsia="仿宋_GB2312" w:cs="仿宋_GB2312"/>
          <w:b/>
          <w:kern w:val="0"/>
          <w:sz w:val="24"/>
          <w:shd w:val="clear" w:color="auto" w:fill="FFFFFF"/>
        </w:rPr>
        <w:t>二、</w:t>
      </w:r>
      <w:bookmarkStart w:id="4" w:name="_Hlk107360985"/>
      <w:r>
        <w:rPr>
          <w:rFonts w:hint="eastAsia" w:ascii="仿宋_GB2312" w:hAnsi="仿宋_GB2312" w:eastAsia="仿宋_GB2312" w:cs="仿宋_GB2312"/>
          <w:b/>
          <w:kern w:val="0"/>
          <w:sz w:val="24"/>
          <w:shd w:val="clear" w:color="auto" w:fill="FFFFFF"/>
        </w:rPr>
        <w:t>财务管理</w:t>
      </w:r>
      <w:bookmarkEnd w:id="4"/>
      <w:r>
        <w:rPr>
          <w:rFonts w:hint="eastAsia" w:ascii="仿宋_GB2312" w:hAnsi="仿宋_GB2312" w:eastAsia="仿宋_GB2312" w:cs="仿宋_GB2312"/>
          <w:b/>
          <w:kern w:val="0"/>
          <w:sz w:val="24"/>
          <w:shd w:val="clear" w:color="auto" w:fill="FFFFFF"/>
        </w:rPr>
        <w:t xml:space="preserve"> </w:t>
      </w:r>
    </w:p>
    <w:p>
      <w:pPr>
        <w:adjustRightInd w:val="0"/>
        <w:snapToGrid w:val="0"/>
        <w:ind w:firstLine="480" w:firstLineChars="200"/>
        <w:jc w:val="left"/>
        <w:rPr>
          <w:rFonts w:hint="eastAsia" w:ascii="仿宋_GB2312" w:hAnsi="仿宋_GB2312" w:eastAsia="仿宋_GB2312" w:cs="仿宋_GB2312"/>
          <w:sz w:val="24"/>
          <w:shd w:val="clear" w:color="auto" w:fill="FFFFFF"/>
        </w:rPr>
      </w:pPr>
      <w:bookmarkStart w:id="5" w:name="_Hlk107361000"/>
      <w:r>
        <w:rPr>
          <w:rFonts w:hint="eastAsia" w:ascii="仿宋_GB2312" w:hAnsi="仿宋_GB2312" w:eastAsia="仿宋_GB2312" w:cs="仿宋_GB2312"/>
          <w:sz w:val="24"/>
          <w:shd w:val="clear" w:color="auto" w:fill="FFFFFF"/>
        </w:rPr>
        <w:t xml:space="preserve">1.财务管理基础 </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2.财务分析的主体、对象、方法、基本财务分析和杜邦分析法</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 xml:space="preserve">3.预测与预算 </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 xml:space="preserve">4.投资管理与方法 </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 xml:space="preserve">5.筹资与分配管理 </w:t>
      </w:r>
    </w:p>
    <w:bookmarkEnd w:id="5"/>
    <w:p>
      <w:pPr>
        <w:widowControl/>
        <w:jc w:val="left"/>
        <w:rPr>
          <w:rFonts w:hint="eastAsia" w:ascii="仿宋_GB2312" w:hAnsi="仿宋_GB2312" w:eastAsia="仿宋_GB2312" w:cs="仿宋_GB2312"/>
          <w:b/>
          <w:kern w:val="0"/>
          <w:sz w:val="24"/>
          <w:shd w:val="clear" w:color="auto" w:fill="FFFFFF"/>
        </w:rPr>
      </w:pPr>
    </w:p>
    <w:p>
      <w:pPr>
        <w:widowControl/>
        <w:jc w:val="left"/>
        <w:outlineLvl w:val="0"/>
        <w:rPr>
          <w:rFonts w:hint="eastAsia" w:ascii="仿宋_GB2312" w:hAnsi="仿宋_GB2312" w:eastAsia="仿宋_GB2312" w:cs="仿宋_GB2312"/>
          <w:b/>
          <w:kern w:val="0"/>
          <w:sz w:val="24"/>
          <w:shd w:val="clear" w:color="auto" w:fill="FFFFFF"/>
        </w:rPr>
      </w:pPr>
      <w:r>
        <w:rPr>
          <w:rFonts w:hint="eastAsia" w:ascii="仿宋_GB2312" w:hAnsi="仿宋_GB2312" w:eastAsia="仿宋_GB2312" w:cs="仿宋_GB2312"/>
          <w:b/>
          <w:kern w:val="0"/>
          <w:sz w:val="24"/>
          <w:shd w:val="clear" w:color="auto" w:fill="FFFFFF"/>
        </w:rPr>
        <w:t xml:space="preserve">三、经济法 </w:t>
      </w:r>
    </w:p>
    <w:p>
      <w:pPr>
        <w:adjustRightInd w:val="0"/>
        <w:snapToGrid w:val="0"/>
        <w:ind w:firstLine="480" w:firstLineChars="200"/>
        <w:jc w:val="left"/>
        <w:rPr>
          <w:rFonts w:hint="eastAsia" w:ascii="仿宋_GB2312" w:hAnsi="仿宋_GB2312" w:eastAsia="仿宋_GB2312" w:cs="仿宋_GB2312"/>
          <w:sz w:val="24"/>
          <w:shd w:val="clear" w:color="auto" w:fill="FFFFFF"/>
        </w:rPr>
      </w:pPr>
      <w:bookmarkStart w:id="6" w:name="_Hlk107361101"/>
      <w:r>
        <w:rPr>
          <w:rFonts w:hint="eastAsia" w:ascii="仿宋_GB2312" w:hAnsi="仿宋_GB2312" w:eastAsia="仿宋_GB2312" w:cs="仿宋_GB2312"/>
          <w:sz w:val="24"/>
          <w:shd w:val="clear" w:color="auto" w:fill="FFFFFF"/>
        </w:rPr>
        <w:t xml:space="preserve">1.企业法律制度 </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2.物权法律制度与运用</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 xml:space="preserve">3.金融法律制度与运用 </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4.企业国有资产法律制度与运用</w:t>
      </w:r>
    </w:p>
    <w:p>
      <w:pPr>
        <w:adjustRightInd w:val="0"/>
        <w:snapToGrid w:val="0"/>
        <w:ind w:firstLine="480" w:firstLineChars="20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5.税收法律制度与运用</w:t>
      </w:r>
      <w:bookmarkEnd w:id="6"/>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DkwOGE2NThhMGIyOGYxMmVkZWQwMTdiZjY5NzAifQ=="/>
  </w:docVars>
  <w:rsids>
    <w:rsidRoot w:val="002C0024"/>
    <w:rsid w:val="0003216C"/>
    <w:rsid w:val="000426C4"/>
    <w:rsid w:val="0005628A"/>
    <w:rsid w:val="000730AF"/>
    <w:rsid w:val="00095BCD"/>
    <w:rsid w:val="000E1F7D"/>
    <w:rsid w:val="000E483E"/>
    <w:rsid w:val="00113E7C"/>
    <w:rsid w:val="00147E88"/>
    <w:rsid w:val="001569E1"/>
    <w:rsid w:val="00173C64"/>
    <w:rsid w:val="00185A58"/>
    <w:rsid w:val="001F3BAA"/>
    <w:rsid w:val="0020798F"/>
    <w:rsid w:val="00232EAF"/>
    <w:rsid w:val="0025113D"/>
    <w:rsid w:val="00267130"/>
    <w:rsid w:val="00281C62"/>
    <w:rsid w:val="00294A1C"/>
    <w:rsid w:val="002C0024"/>
    <w:rsid w:val="002C65D5"/>
    <w:rsid w:val="00307B07"/>
    <w:rsid w:val="00313823"/>
    <w:rsid w:val="00313B5C"/>
    <w:rsid w:val="00321816"/>
    <w:rsid w:val="0033311E"/>
    <w:rsid w:val="00381316"/>
    <w:rsid w:val="003924A8"/>
    <w:rsid w:val="003B0AE9"/>
    <w:rsid w:val="003B5F8D"/>
    <w:rsid w:val="004533C5"/>
    <w:rsid w:val="004A1910"/>
    <w:rsid w:val="004F1909"/>
    <w:rsid w:val="0050035D"/>
    <w:rsid w:val="0050149D"/>
    <w:rsid w:val="005834E1"/>
    <w:rsid w:val="00583D05"/>
    <w:rsid w:val="005A4550"/>
    <w:rsid w:val="005A598F"/>
    <w:rsid w:val="005A7E70"/>
    <w:rsid w:val="005B26BF"/>
    <w:rsid w:val="005C41AE"/>
    <w:rsid w:val="00644AD4"/>
    <w:rsid w:val="006638D6"/>
    <w:rsid w:val="006E0D6C"/>
    <w:rsid w:val="006F378E"/>
    <w:rsid w:val="007039AF"/>
    <w:rsid w:val="00787AC3"/>
    <w:rsid w:val="007F7B87"/>
    <w:rsid w:val="00825A64"/>
    <w:rsid w:val="00833A31"/>
    <w:rsid w:val="00851203"/>
    <w:rsid w:val="00864FEC"/>
    <w:rsid w:val="008A6C8B"/>
    <w:rsid w:val="008C0A08"/>
    <w:rsid w:val="00902462"/>
    <w:rsid w:val="00913310"/>
    <w:rsid w:val="00931DD6"/>
    <w:rsid w:val="009416F6"/>
    <w:rsid w:val="00947591"/>
    <w:rsid w:val="009548F0"/>
    <w:rsid w:val="00972744"/>
    <w:rsid w:val="009862FC"/>
    <w:rsid w:val="009930B9"/>
    <w:rsid w:val="009F35F9"/>
    <w:rsid w:val="00AB4BBB"/>
    <w:rsid w:val="00AE1E7D"/>
    <w:rsid w:val="00B010EA"/>
    <w:rsid w:val="00B1427E"/>
    <w:rsid w:val="00B46347"/>
    <w:rsid w:val="00B923E5"/>
    <w:rsid w:val="00BB3DC5"/>
    <w:rsid w:val="00BC66D9"/>
    <w:rsid w:val="00BF3513"/>
    <w:rsid w:val="00C13615"/>
    <w:rsid w:val="00C468D7"/>
    <w:rsid w:val="00C748B5"/>
    <w:rsid w:val="00CA43BE"/>
    <w:rsid w:val="00D20943"/>
    <w:rsid w:val="00D401FD"/>
    <w:rsid w:val="00D65BEF"/>
    <w:rsid w:val="00D94BAA"/>
    <w:rsid w:val="00D96635"/>
    <w:rsid w:val="00DE1A7B"/>
    <w:rsid w:val="00E227BD"/>
    <w:rsid w:val="00E369D3"/>
    <w:rsid w:val="00E55EAD"/>
    <w:rsid w:val="00E64789"/>
    <w:rsid w:val="00E90289"/>
    <w:rsid w:val="00EA251E"/>
    <w:rsid w:val="00EE6A7A"/>
    <w:rsid w:val="00EF6F47"/>
    <w:rsid w:val="00F039CA"/>
    <w:rsid w:val="00F768A9"/>
    <w:rsid w:val="00F7765B"/>
    <w:rsid w:val="00F85527"/>
    <w:rsid w:val="00FA185D"/>
    <w:rsid w:val="08685237"/>
    <w:rsid w:val="136D6535"/>
    <w:rsid w:val="13EC1BC1"/>
    <w:rsid w:val="142874B7"/>
    <w:rsid w:val="16715A41"/>
    <w:rsid w:val="18921583"/>
    <w:rsid w:val="1C8F6836"/>
    <w:rsid w:val="29641AA1"/>
    <w:rsid w:val="311E380C"/>
    <w:rsid w:val="363E5114"/>
    <w:rsid w:val="370F1A43"/>
    <w:rsid w:val="3BFE6FEC"/>
    <w:rsid w:val="44532AC7"/>
    <w:rsid w:val="44CC7550"/>
    <w:rsid w:val="473A53F3"/>
    <w:rsid w:val="49BC55E8"/>
    <w:rsid w:val="536709FA"/>
    <w:rsid w:val="59D76506"/>
    <w:rsid w:val="5D622CA1"/>
    <w:rsid w:val="72741BCC"/>
    <w:rsid w:val="784E629A"/>
    <w:rsid w:val="7CBC6DDD"/>
    <w:rsid w:val="7F002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Hyperlink"/>
    <w:unhideWhenUsed/>
    <w:uiPriority w:val="99"/>
    <w:rPr>
      <w:color w:val="0000FF"/>
      <w:u w:val="single"/>
    </w:rPr>
  </w:style>
  <w:style w:type="character" w:customStyle="1" w:styleId="10">
    <w:name w:val="页脚 字符"/>
    <w:link w:val="3"/>
    <w:uiPriority w:val="99"/>
    <w:rPr>
      <w:kern w:val="2"/>
      <w:sz w:val="18"/>
      <w:szCs w:val="18"/>
    </w:rPr>
  </w:style>
  <w:style w:type="character" w:customStyle="1" w:styleId="11">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410</Words>
  <Characters>2340</Characters>
  <Lines>19</Lines>
  <Paragraphs>5</Paragraphs>
  <TotalTime>0</TotalTime>
  <ScaleCrop>false</ScaleCrop>
  <LinksUpToDate>false</LinksUpToDate>
  <CharactersWithSpaces>2745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2011-07-06T09:02:00Z</dcterms:created>
  <dc:creator>Lenovo User</dc:creator>
  <cp:lastModifiedBy>~ing</cp:lastModifiedBy>
  <cp:lastPrinted>2016-05-17T06:30:00Z</cp:lastPrinted>
  <dcterms:modified xsi:type="dcterms:W3CDTF">2023-09-19T06:44:41Z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AF973360E5544D07BC1A7EC5EB4858AC_13</vt:lpwstr>
  </property>
</Properties>
</file>