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国际贸易学 </w:t>
      </w:r>
      <w:bookmarkStart w:id="1" w:name="_GoBack"/>
      <w:r>
        <w:rPr>
          <w:rFonts w:hint="eastAsia" w:ascii="黑体" w:hAnsi="黑体" w:eastAsia="黑体" w:cs="黑体"/>
          <w:b/>
          <w:color w:val="000000"/>
          <w:sz w:val="36"/>
          <w:szCs w:val="36"/>
        </w:rPr>
        <w:t>020206</w:t>
      </w:r>
      <w:bookmarkEnd w:id="1"/>
    </w:p>
    <w:p>
      <w:pPr>
        <w:adjustRightInd w:val="0"/>
        <w:snapToGrid w:val="0"/>
        <w:jc w:val="center"/>
        <w:rPr>
          <w:rFonts w:hint="eastAsia" w:ascii="宋体" w:hAnsi="宋体" w:cs="宋体"/>
          <w:b/>
          <w:color w:val="000000"/>
          <w:sz w:val="36"/>
          <w:szCs w:val="36"/>
        </w:rPr>
      </w:pPr>
    </w:p>
    <w:p>
      <w:pPr>
        <w:pStyle w:val="3"/>
        <w:adjustRightInd w:val="0"/>
        <w:snapToGrid w:val="0"/>
        <w:spacing w:before="0" w:beforeAutospacing="0" w:after="0" w:afterAutospacing="0"/>
        <w:rPr>
          <w:color w:val="000000"/>
        </w:rPr>
      </w:pPr>
      <w:r>
        <w:rPr>
          <w:rFonts w:hint="eastAsia"/>
          <w:b/>
          <w:bCs/>
        </w:rPr>
        <w:t>学科点简介：</w:t>
      </w:r>
      <w:r>
        <w:rPr>
          <w:rFonts w:hint="eastAsia"/>
          <w:color w:val="000000"/>
        </w:rPr>
        <w:t>国际贸易学是应用经济学博士授权点和省级优势重点学科的主干学科，</w:t>
      </w:r>
      <w:r>
        <w:rPr>
          <w:rFonts w:hint="eastAsia"/>
          <w:bCs/>
          <w:color w:val="000000"/>
        </w:rPr>
        <w:t>200</w:t>
      </w:r>
      <w:r>
        <w:rPr>
          <w:bCs/>
          <w:color w:val="000000"/>
        </w:rPr>
        <w:t>6</w:t>
      </w:r>
      <w:r>
        <w:rPr>
          <w:rFonts w:hint="eastAsia"/>
          <w:bCs/>
          <w:color w:val="000000"/>
        </w:rPr>
        <w:t>年获国际贸易学</w:t>
      </w:r>
      <w:bookmarkStart w:id="0" w:name="_Hlk136800106"/>
      <w:r>
        <w:rPr>
          <w:rFonts w:hint="eastAsia"/>
          <w:bCs/>
          <w:color w:val="000000"/>
        </w:rPr>
        <w:t>硕士</w:t>
      </w:r>
      <w:bookmarkEnd w:id="0"/>
      <w:r>
        <w:rPr>
          <w:rFonts w:hint="eastAsia"/>
          <w:bCs/>
          <w:color w:val="000000"/>
        </w:rPr>
        <w:t>学位授予权，2021年国际贸易所属一级学科获批为应用经济学博士学位授权点。</w:t>
      </w:r>
      <w:r>
        <w:rPr>
          <w:rFonts w:hint="eastAsia"/>
          <w:color w:val="000000"/>
        </w:rPr>
        <w:t>现有专业教师3</w:t>
      </w:r>
      <w:r>
        <w:rPr>
          <w:color w:val="000000"/>
        </w:rPr>
        <w:t>2</w:t>
      </w:r>
      <w:r>
        <w:rPr>
          <w:rFonts w:hint="eastAsia"/>
          <w:color w:val="000000"/>
        </w:rPr>
        <w:t>人，</w:t>
      </w:r>
      <w:r>
        <w:rPr>
          <w:rFonts w:hint="eastAsia"/>
          <w:bCs/>
          <w:color w:val="000000"/>
        </w:rPr>
        <w:t>9</w:t>
      </w:r>
      <w:r>
        <w:rPr>
          <w:bCs/>
          <w:color w:val="000000"/>
        </w:rPr>
        <w:t>0</w:t>
      </w:r>
      <w:r>
        <w:rPr>
          <w:rFonts w:hint="eastAsia"/>
          <w:bCs/>
          <w:color w:val="000000"/>
        </w:rPr>
        <w:t>%以上的教师具有博士学位，40%以上教师具有海外经历，</w:t>
      </w:r>
      <w:r>
        <w:rPr>
          <w:rFonts w:hint="eastAsia"/>
          <w:color w:val="000000"/>
        </w:rPr>
        <w:t>其中教授7人，副教授1</w:t>
      </w:r>
      <w:r>
        <w:rPr>
          <w:color w:val="000000"/>
        </w:rPr>
        <w:t>4</w:t>
      </w:r>
      <w:r>
        <w:rPr>
          <w:rFonts w:hint="eastAsia"/>
          <w:color w:val="000000"/>
        </w:rPr>
        <w:t>人，博士生导师和硕士生导师</w:t>
      </w:r>
      <w:r>
        <w:rPr>
          <w:color w:val="000000"/>
        </w:rPr>
        <w:t>20</w:t>
      </w:r>
      <w:r>
        <w:rPr>
          <w:rFonts w:hint="eastAsia"/>
          <w:color w:val="000000"/>
        </w:rPr>
        <w:t>名，全国优秀老师、</w:t>
      </w:r>
      <w:r>
        <w:rPr>
          <w:rFonts w:hint="eastAsia"/>
          <w:bCs/>
          <w:color w:val="000000"/>
        </w:rPr>
        <w:t>南粤优秀教师等各类高层次人才近1</w:t>
      </w:r>
      <w:r>
        <w:rPr>
          <w:bCs/>
          <w:color w:val="000000"/>
        </w:rPr>
        <w:t>0</w:t>
      </w:r>
      <w:r>
        <w:rPr>
          <w:rFonts w:hint="eastAsia"/>
          <w:bCs/>
          <w:color w:val="000000"/>
        </w:rPr>
        <w:t>人；拥有2个省级科研平台（广东数字经济研究院和开放型经济创新研究中心），</w:t>
      </w:r>
      <w:r>
        <w:rPr>
          <w:bCs/>
          <w:color w:val="000000"/>
        </w:rPr>
        <w:t>1</w:t>
      </w:r>
      <w:r>
        <w:rPr>
          <w:rFonts w:hint="eastAsia"/>
          <w:bCs/>
          <w:color w:val="000000"/>
        </w:rPr>
        <w:t>支省级科研团队（区域经济协调与可持续开放发展团队），与世界百强名校</w:t>
      </w:r>
      <w:r>
        <w:rPr>
          <w:rFonts w:cs="Arial"/>
          <w:color w:val="000000"/>
          <w:shd w:val="clear" w:color="auto" w:fill="FFFFFF"/>
        </w:rPr>
        <w:t>乌普萨拉大学(Uppsala University)</w:t>
      </w:r>
      <w:r>
        <w:rPr>
          <w:rFonts w:hint="eastAsia"/>
          <w:bCs/>
          <w:color w:val="000000"/>
        </w:rPr>
        <w:t>和</w:t>
      </w:r>
      <w:r>
        <w:rPr>
          <w:rStyle w:val="11"/>
          <w:rFonts w:cs="Arial"/>
          <w:i w:val="0"/>
          <w:iCs w:val="0"/>
          <w:color w:val="000000"/>
          <w:shd w:val="clear" w:color="auto" w:fill="FFFFFF"/>
        </w:rPr>
        <w:t>北亚利桑那大学</w:t>
      </w:r>
      <w:r>
        <w:rPr>
          <w:rFonts w:cs="Arial"/>
          <w:color w:val="000000"/>
          <w:shd w:val="clear" w:color="auto" w:fill="FFFFFF"/>
        </w:rPr>
        <w:t>（Northern Arizona University）</w:t>
      </w:r>
      <w:r>
        <w:rPr>
          <w:rFonts w:hint="eastAsia"/>
          <w:bCs/>
          <w:color w:val="000000"/>
        </w:rPr>
        <w:t>等境外知名高校开展多形式的交流合作。</w:t>
      </w:r>
      <w:r>
        <w:rPr>
          <w:rFonts w:hint="eastAsia"/>
          <w:color w:val="000000"/>
        </w:rPr>
        <w:t>近3年来，主持国家社会科学基金重点项目、国家自然科学基金面上项目等国家级、省部级项目60多项；在国内外权威学术刊物上公开发表论文80余篇；获</w:t>
      </w:r>
      <w:r>
        <w:rPr>
          <w:color w:val="000000"/>
        </w:rPr>
        <w:t>教育部高等学校科学研究优秀成果奖、广东省教育教学成果一等奖</w:t>
      </w:r>
      <w:r>
        <w:rPr>
          <w:rFonts w:hint="eastAsia"/>
          <w:color w:val="000000"/>
        </w:rPr>
        <w:t>等省部级以上奖项近10项；研究报告获党和国家主要领导、省部级领导肯定性批示10多项；培养国际贸易专业</w:t>
      </w:r>
      <w:r>
        <w:rPr>
          <w:rFonts w:hint="eastAsia"/>
          <w:bCs/>
          <w:color w:val="000000"/>
        </w:rPr>
        <w:t>硕士研究</w:t>
      </w:r>
      <w:r>
        <w:rPr>
          <w:rFonts w:hint="eastAsia"/>
          <w:color w:val="000000"/>
        </w:rPr>
        <w:t>生</w:t>
      </w:r>
      <w:r>
        <w:rPr>
          <w:color w:val="000000"/>
        </w:rPr>
        <w:t>105</w:t>
      </w:r>
      <w:r>
        <w:rPr>
          <w:rFonts w:hint="eastAsia"/>
          <w:color w:val="000000"/>
        </w:rPr>
        <w:t>人，就业范围主要包括政府机关、高等院校、金融机构、跨国贸易公司等。</w:t>
      </w:r>
    </w:p>
    <w:p>
      <w:pPr>
        <w:pStyle w:val="3"/>
        <w:adjustRightInd w:val="0"/>
        <w:snapToGrid w:val="0"/>
        <w:spacing w:before="0" w:beforeAutospacing="0" w:after="0" w:afterAutospacing="0"/>
        <w:rPr>
          <w:rFonts w:hint="eastAsia"/>
        </w:rPr>
      </w:pPr>
    </w:p>
    <w:p>
      <w:pPr>
        <w:adjustRightInd w:val="0"/>
        <w:snapToGrid w:val="0"/>
        <w:rPr>
          <w:rFonts w:hint="eastAsia" w:ascii="宋体" w:hAnsi="宋体" w:cs="宋体"/>
          <w:kern w:val="0"/>
          <w:sz w:val="24"/>
        </w:rPr>
      </w:pPr>
      <w:r>
        <w:rPr>
          <w:rFonts w:hint="eastAsia" w:ascii="宋体" w:hAnsi="宋体" w:cs="宋体"/>
          <w:b/>
          <w:bCs/>
          <w:kern w:val="0"/>
          <w:sz w:val="24"/>
        </w:rPr>
        <w:t>培养目标：</w:t>
      </w:r>
      <w:r>
        <w:rPr>
          <w:rFonts w:hint="eastAsia" w:ascii="宋体" w:hAnsi="宋体" w:cs="宋体"/>
          <w:kern w:val="0"/>
          <w:sz w:val="24"/>
        </w:rPr>
        <w:t>培养德、智、体、美、劳全面发展的高层次国际贸易专门人才。要求学生：热爱祖国，热爱社会主义，拥护中国共产党的领导，遵纪守法，有良好的品德修养，身心健康；努力学习，勤于实践，积极探索，勇于创新；系统掌握本学科基础理论和专门知识，熟练掌握一门外语，并能熟练地使用信息与网络技术开展研究工作；具有从事本领域的科研、教学及相关经济管理工作的能力。</w:t>
      </w:r>
    </w:p>
    <w:p>
      <w:pPr>
        <w:widowControl/>
        <w:adjustRightInd w:val="0"/>
        <w:snapToGrid w:val="0"/>
        <w:rPr>
          <w:rFonts w:hint="eastAsia" w:ascii="宋体" w:hAnsi="宋体" w:cs="宋体"/>
          <w:b/>
          <w:bCs/>
          <w:kern w:val="0"/>
          <w:sz w:val="24"/>
        </w:rPr>
      </w:pPr>
    </w:p>
    <w:p>
      <w:pPr>
        <w:widowControl/>
        <w:adjustRightInd w:val="0"/>
        <w:snapToGrid w:val="0"/>
        <w:rPr>
          <w:rFonts w:hint="eastAsia" w:ascii="宋体" w:hAnsi="宋体" w:cs="宋体"/>
          <w:kern w:val="0"/>
          <w:szCs w:val="21"/>
        </w:rPr>
      </w:pPr>
      <w:r>
        <w:rPr>
          <w:rFonts w:hint="eastAsia" w:ascii="宋体" w:hAnsi="宋体" w:cs="宋体"/>
          <w:b/>
          <w:bCs/>
          <w:kern w:val="0"/>
          <w:sz w:val="24"/>
        </w:rPr>
        <w:t>主要课程：</w:t>
      </w:r>
      <w:r>
        <w:rPr>
          <w:rFonts w:hint="eastAsia" w:ascii="宋体" w:hAnsi="宋体" w:cs="宋体"/>
          <w:kern w:val="0"/>
          <w:sz w:val="24"/>
        </w:rPr>
        <w:t>中级微观经济学、中级宏观经济学、数字经济学、国际贸易学、国际投资学、国际营销学、计量经济学、世界经济学、国际经济学前沿问题研究、现代金融理论、专业英语、跨界电子商务。</w:t>
      </w:r>
    </w:p>
    <w:p>
      <w:pPr>
        <w:widowControl/>
        <w:adjustRightInd w:val="0"/>
        <w:snapToGrid w:val="0"/>
        <w:rPr>
          <w:rFonts w:hint="eastAsia" w:ascii="宋体" w:hAnsi="宋体" w:cs="宋体"/>
          <w:kern w:val="0"/>
          <w:szCs w:val="21"/>
        </w:rPr>
      </w:pPr>
      <w:r>
        <w:rPr>
          <w:rFonts w:hint="eastAsia" w:ascii="宋体" w:hAnsi="宋体" w:cs="宋体"/>
          <w:kern w:val="0"/>
          <w:szCs w:val="21"/>
        </w:rPr>
        <w:t> </w:t>
      </w:r>
    </w:p>
    <w:p>
      <w:pPr>
        <w:widowControl/>
        <w:adjustRightInd w:val="0"/>
        <w:snapToGrid w:val="0"/>
        <w:rPr>
          <w:rFonts w:hint="eastAsia" w:ascii="宋体" w:hAnsi="宋体" w:cs="宋体"/>
          <w:kern w:val="0"/>
          <w:sz w:val="24"/>
        </w:rPr>
      </w:pPr>
      <w:r>
        <w:rPr>
          <w:rFonts w:hint="eastAsia" w:ascii="宋体" w:hAnsi="宋体" w:cs="宋体"/>
          <w:b/>
          <w:bCs/>
          <w:kern w:val="0"/>
          <w:sz w:val="24"/>
        </w:rPr>
        <w:t>就业方向：</w:t>
      </w:r>
      <w:r>
        <w:rPr>
          <w:rFonts w:hint="eastAsia" w:ascii="宋体" w:hAnsi="宋体" w:cs="宋体"/>
          <w:kern w:val="0"/>
          <w:sz w:val="24"/>
        </w:rPr>
        <w:t>政府机关、高等院校、科研机构、各类公司；还可进一步报考相关学科门类的博士研究生，继续求学深造。</w:t>
      </w:r>
    </w:p>
    <w:p>
      <w:pPr>
        <w:widowControl/>
        <w:adjustRightInd w:val="0"/>
        <w:snapToGrid w:val="0"/>
        <w:ind w:firstLine="241" w:firstLineChars="100"/>
        <w:jc w:val="center"/>
        <w:rPr>
          <w:rFonts w:hint="eastAsia" w:ascii="宋体" w:hAnsi="宋体" w:cs="宋体"/>
          <w:b/>
          <w:sz w:val="24"/>
        </w:rPr>
      </w:pPr>
      <w:r>
        <w:rPr>
          <w:rFonts w:hint="eastAsia" w:ascii="宋体" w:hAnsi="宋体" w:cs="宋体"/>
          <w:b/>
          <w:bCs/>
          <w:kern w:val="0"/>
          <w:sz w:val="24"/>
        </w:rPr>
        <w:t>专业代码：</w:t>
      </w:r>
      <w:r>
        <w:rPr>
          <w:rFonts w:hint="eastAsia" w:ascii="宋体" w:hAnsi="宋体" w:cs="宋体"/>
          <w:b/>
          <w:sz w:val="24"/>
        </w:rPr>
        <w:t>020206</w:t>
      </w:r>
      <w:r>
        <w:rPr>
          <w:rFonts w:hint="eastAsia" w:ascii="宋体" w:hAnsi="宋体" w:cs="宋体"/>
          <w:b/>
          <w:bCs/>
          <w:kern w:val="0"/>
          <w:sz w:val="24"/>
        </w:rPr>
        <w:t xml:space="preserve">                        </w:t>
      </w:r>
      <w:r>
        <w:rPr>
          <w:rFonts w:hint="eastAsia" w:ascii="宋体" w:hAnsi="宋体" w:cs="宋体"/>
          <w:b/>
          <w:sz w:val="24"/>
        </w:rPr>
        <w:t>咨询电话：020-84261737</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714"/>
        <w:gridCol w:w="2962"/>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3"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b/>
                <w:sz w:val="24"/>
              </w:rPr>
            </w:pPr>
            <w:r>
              <w:rPr>
                <w:rFonts w:hint="eastAsia" w:ascii="宋体" w:hAnsi="宋体" w:cs="宋体"/>
                <w:b/>
                <w:sz w:val="24"/>
              </w:rPr>
              <w:t>序号</w:t>
            </w:r>
          </w:p>
        </w:tc>
        <w:tc>
          <w:tcPr>
            <w:tcW w:w="2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b/>
                <w:sz w:val="24"/>
              </w:rPr>
            </w:pPr>
            <w:r>
              <w:rPr>
                <w:rFonts w:hint="eastAsia" w:ascii="宋体" w:hAnsi="宋体" w:cs="宋体"/>
                <w:b/>
                <w:sz w:val="24"/>
              </w:rPr>
              <w:t>研究方向</w:t>
            </w:r>
          </w:p>
        </w:tc>
        <w:tc>
          <w:tcPr>
            <w:tcW w:w="29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b/>
                <w:sz w:val="24"/>
              </w:rPr>
            </w:pPr>
            <w:r>
              <w:rPr>
                <w:rFonts w:hint="eastAsia" w:ascii="宋体" w:hAnsi="宋体" w:cs="宋体"/>
                <w:b/>
                <w:sz w:val="24"/>
              </w:rPr>
              <w:t>初试科目</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b/>
                <w:sz w:val="24"/>
              </w:rPr>
            </w:pPr>
            <w:r>
              <w:rPr>
                <w:rFonts w:hint="eastAsia" w:ascii="宋体" w:hAnsi="宋体" w:cs="宋体"/>
                <w:b/>
                <w:sz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43"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z w:val="24"/>
              </w:rPr>
            </w:pPr>
            <w:r>
              <w:rPr>
                <w:rFonts w:hint="eastAsia" w:ascii="宋体" w:hAnsi="宋体" w:cs="宋体"/>
                <w:sz w:val="24"/>
              </w:rPr>
              <w:t>1</w:t>
            </w:r>
          </w:p>
        </w:tc>
        <w:tc>
          <w:tcPr>
            <w:tcW w:w="2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s="宋体"/>
                <w:sz w:val="24"/>
              </w:rPr>
            </w:pPr>
            <w:r>
              <w:rPr>
                <w:rFonts w:hint="eastAsia" w:ascii="宋体" w:hAnsi="宋体" w:cs="宋体"/>
                <w:sz w:val="24"/>
              </w:rPr>
              <w:t>国际贸易理论与政策</w:t>
            </w:r>
          </w:p>
        </w:tc>
        <w:tc>
          <w:tcPr>
            <w:tcW w:w="2962" w:type="dxa"/>
            <w:vMerge w:val="restart"/>
            <w:tcBorders>
              <w:top w:val="single" w:color="auto" w:sz="4" w:space="0"/>
              <w:left w:val="single" w:color="auto" w:sz="4" w:space="0"/>
              <w:right w:val="single" w:color="auto" w:sz="4" w:space="0"/>
            </w:tcBorders>
            <w:noWrap w:val="0"/>
            <w:vAlign w:val="center"/>
          </w:tcPr>
          <w:p>
            <w:pPr>
              <w:adjustRightInd w:val="0"/>
              <w:snapToGrid w:val="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sz w:val="24"/>
              </w:rPr>
              <w:t>▲</w:t>
            </w:r>
            <w:r>
              <w:rPr>
                <w:rFonts w:hint="eastAsia" w:ascii="宋体" w:hAnsi="宋体" w:cs="宋体"/>
                <w:color w:val="000000"/>
                <w:sz w:val="24"/>
              </w:rPr>
              <w:t>思想政治理论（100分）</w:t>
            </w:r>
          </w:p>
          <w:p>
            <w:pPr>
              <w:adjustRightInd w:val="0"/>
              <w:snapToGrid w:val="0"/>
              <w:rPr>
                <w:rFonts w:ascii="宋体" w:hAnsi="宋体" w:cs="宋体"/>
                <w:color w:val="000000"/>
                <w:sz w:val="24"/>
              </w:rPr>
            </w:pPr>
            <w:r>
              <w:rPr>
                <w:rFonts w:hint="eastAsia" w:ascii="宋体" w:hAnsi="宋体" w:cs="宋体"/>
                <w:color w:val="000000"/>
                <w:sz w:val="24"/>
              </w:rPr>
              <w:t>（2）</w:t>
            </w:r>
            <w:r>
              <w:rPr>
                <w:rFonts w:hint="eastAsia" w:ascii="宋体" w:hAnsi="宋体" w:cs="宋体"/>
                <w:sz w:val="24"/>
              </w:rPr>
              <w:t>▲</w:t>
            </w:r>
            <w:r>
              <w:rPr>
                <w:rFonts w:hint="eastAsia" w:ascii="宋体" w:hAnsi="宋体" w:cs="宋体"/>
                <w:color w:val="000000"/>
                <w:sz w:val="24"/>
              </w:rPr>
              <w:t>英语一（100分）</w:t>
            </w:r>
          </w:p>
          <w:p>
            <w:pPr>
              <w:adjustRightInd w:val="0"/>
              <w:snapToGrid w:val="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sz w:val="24"/>
              </w:rPr>
              <w:t>▲</w:t>
            </w:r>
            <w:r>
              <w:rPr>
                <w:rFonts w:hint="eastAsia" w:ascii="宋体" w:hAnsi="宋体" w:cs="宋体"/>
                <w:color w:val="000000"/>
                <w:sz w:val="24"/>
              </w:rPr>
              <w:t>数学三（150分）</w:t>
            </w:r>
          </w:p>
          <w:p>
            <w:pPr>
              <w:adjustRightInd w:val="0"/>
              <w:snapToGrid w:val="0"/>
              <w:rPr>
                <w:rFonts w:hint="eastAsia" w:ascii="宋体" w:hAnsi="宋体" w:cs="宋体"/>
                <w:sz w:val="24"/>
              </w:rPr>
            </w:pPr>
            <w:r>
              <w:rPr>
                <w:rFonts w:hint="eastAsia" w:ascii="宋体" w:hAnsi="宋体" w:cs="宋体"/>
                <w:color w:val="000000"/>
                <w:sz w:val="24"/>
              </w:rPr>
              <w:t>（4）经济学基础（150分）</w:t>
            </w:r>
          </w:p>
        </w:tc>
        <w:tc>
          <w:tcPr>
            <w:tcW w:w="1948" w:type="dxa"/>
            <w:vMerge w:val="restart"/>
            <w:tcBorders>
              <w:top w:val="single" w:color="auto" w:sz="4" w:space="0"/>
              <w:left w:val="single" w:color="auto" w:sz="4" w:space="0"/>
              <w:right w:val="single" w:color="auto" w:sz="4" w:space="0"/>
            </w:tcBorders>
            <w:noWrap w:val="0"/>
            <w:vAlign w:val="center"/>
          </w:tcPr>
          <w:p>
            <w:pPr>
              <w:adjustRightInd w:val="0"/>
              <w:snapToGrid w:val="0"/>
              <w:jc w:val="left"/>
              <w:rPr>
                <w:rFonts w:hint="eastAsia" w:ascii="宋体" w:hAnsi="宋体" w:cs="宋体"/>
                <w:sz w:val="24"/>
              </w:rPr>
            </w:pPr>
            <w:r>
              <w:rPr>
                <w:rFonts w:hint="eastAsia" w:ascii="宋体" w:hAnsi="宋体" w:cs="宋体"/>
                <w:sz w:val="24"/>
              </w:rPr>
              <w:t>F507-国际经济学[含国际贸易实务](100分)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43"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z w:val="24"/>
              </w:rPr>
            </w:pPr>
            <w:r>
              <w:rPr>
                <w:rFonts w:hint="eastAsia" w:ascii="宋体" w:hAnsi="宋体" w:cs="宋体"/>
                <w:sz w:val="24"/>
              </w:rPr>
              <w:t>2</w:t>
            </w:r>
          </w:p>
        </w:tc>
        <w:tc>
          <w:tcPr>
            <w:tcW w:w="2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s="宋体"/>
                <w:sz w:val="24"/>
              </w:rPr>
            </w:pPr>
            <w:r>
              <w:rPr>
                <w:rFonts w:hint="eastAsia" w:ascii="宋体" w:hAnsi="宋体" w:cs="宋体"/>
                <w:sz w:val="24"/>
              </w:rPr>
              <w:t>国际贸易与投资一体化</w:t>
            </w:r>
          </w:p>
        </w:tc>
        <w:tc>
          <w:tcPr>
            <w:tcW w:w="2962" w:type="dxa"/>
            <w:vMerge w:val="continue"/>
            <w:tcBorders>
              <w:left w:val="single" w:color="auto" w:sz="4" w:space="0"/>
              <w:right w:val="single" w:color="auto" w:sz="4" w:space="0"/>
            </w:tcBorders>
            <w:noWrap w:val="0"/>
            <w:vAlign w:val="center"/>
          </w:tcPr>
          <w:p>
            <w:pPr>
              <w:widowControl/>
              <w:adjustRightInd w:val="0"/>
              <w:snapToGrid w:val="0"/>
              <w:rPr>
                <w:rFonts w:hint="eastAsia" w:ascii="宋体" w:hAnsi="宋体" w:cs="宋体"/>
                <w:sz w:val="24"/>
              </w:rPr>
            </w:pPr>
          </w:p>
        </w:tc>
        <w:tc>
          <w:tcPr>
            <w:tcW w:w="1948" w:type="dxa"/>
            <w:vMerge w:val="continue"/>
            <w:tcBorders>
              <w:left w:val="single" w:color="auto" w:sz="4" w:space="0"/>
              <w:right w:val="single" w:color="auto" w:sz="4" w:space="0"/>
            </w:tcBorders>
            <w:noWrap w:val="0"/>
            <w:vAlign w:val="center"/>
          </w:tcPr>
          <w:p>
            <w:pPr>
              <w:widowControl/>
              <w:adjustRightInd w:val="0"/>
              <w:snapToGrid w:val="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43"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z w:val="24"/>
              </w:rPr>
            </w:pPr>
            <w:r>
              <w:rPr>
                <w:rFonts w:hint="eastAsia" w:ascii="宋体" w:hAnsi="宋体" w:cs="宋体"/>
                <w:sz w:val="24"/>
              </w:rPr>
              <w:t>3</w:t>
            </w:r>
          </w:p>
        </w:tc>
        <w:tc>
          <w:tcPr>
            <w:tcW w:w="2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s="宋体"/>
                <w:sz w:val="24"/>
              </w:rPr>
            </w:pPr>
            <w:r>
              <w:rPr>
                <w:rFonts w:hint="eastAsia" w:ascii="宋体" w:hAnsi="宋体"/>
                <w:color w:val="000000"/>
                <w:sz w:val="24"/>
              </w:rPr>
              <w:t>大数据与跨境电子商务</w:t>
            </w:r>
          </w:p>
        </w:tc>
        <w:tc>
          <w:tcPr>
            <w:tcW w:w="2962" w:type="dxa"/>
            <w:vMerge w:val="continue"/>
            <w:tcBorders>
              <w:left w:val="single" w:color="auto" w:sz="4" w:space="0"/>
              <w:right w:val="single" w:color="auto" w:sz="4" w:space="0"/>
            </w:tcBorders>
            <w:noWrap w:val="0"/>
            <w:vAlign w:val="center"/>
          </w:tcPr>
          <w:p>
            <w:pPr>
              <w:widowControl/>
              <w:adjustRightInd w:val="0"/>
              <w:snapToGrid w:val="0"/>
              <w:rPr>
                <w:rFonts w:hint="eastAsia" w:ascii="宋体" w:hAnsi="宋体" w:cs="宋体"/>
                <w:sz w:val="24"/>
              </w:rPr>
            </w:pPr>
          </w:p>
        </w:tc>
        <w:tc>
          <w:tcPr>
            <w:tcW w:w="1948" w:type="dxa"/>
            <w:vMerge w:val="continue"/>
            <w:tcBorders>
              <w:left w:val="single" w:color="auto" w:sz="4" w:space="0"/>
              <w:right w:val="single" w:color="auto" w:sz="4" w:space="0"/>
            </w:tcBorders>
            <w:noWrap w:val="0"/>
            <w:vAlign w:val="center"/>
          </w:tcPr>
          <w:p>
            <w:pPr>
              <w:widowControl/>
              <w:adjustRightInd w:val="0"/>
              <w:snapToGrid w:val="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43"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z w:val="24"/>
              </w:rPr>
            </w:pPr>
            <w:r>
              <w:rPr>
                <w:rFonts w:hint="eastAsia" w:ascii="宋体" w:hAnsi="宋体" w:cs="宋体"/>
                <w:sz w:val="24"/>
              </w:rPr>
              <w:t>4</w:t>
            </w:r>
          </w:p>
        </w:tc>
        <w:tc>
          <w:tcPr>
            <w:tcW w:w="2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480" w:firstLineChars="200"/>
              <w:rPr>
                <w:rFonts w:hint="eastAsia" w:ascii="宋体" w:hAnsi="宋体"/>
                <w:color w:val="000000"/>
                <w:sz w:val="24"/>
              </w:rPr>
            </w:pPr>
            <w:r>
              <w:rPr>
                <w:rFonts w:hint="eastAsia" w:ascii="宋体" w:hAnsi="宋体"/>
                <w:color w:val="000000"/>
                <w:sz w:val="24"/>
              </w:rPr>
              <w:t>数字贸易</w:t>
            </w:r>
          </w:p>
        </w:tc>
        <w:tc>
          <w:tcPr>
            <w:tcW w:w="2962"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rPr>
                <w:rFonts w:hint="eastAsia" w:ascii="宋体" w:hAnsi="宋体" w:cs="宋体"/>
                <w:sz w:val="24"/>
              </w:rPr>
            </w:pPr>
          </w:p>
        </w:tc>
        <w:tc>
          <w:tcPr>
            <w:tcW w:w="1948"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rPr>
                <w:rFonts w:hint="eastAsia" w:ascii="宋体" w:hAnsi="宋体" w:cs="宋体"/>
                <w:sz w:val="24"/>
              </w:rPr>
            </w:pPr>
          </w:p>
        </w:tc>
      </w:tr>
    </w:tbl>
    <w:p>
      <w:pPr>
        <w:adjustRightInd w:val="0"/>
        <w:snapToGrid w:val="0"/>
        <w:rPr>
          <w:rFonts w:hint="eastAsia" w:ascii="宋体" w:hAnsi="宋体" w:cs="宋体"/>
          <w:b/>
          <w:sz w:val="24"/>
        </w:rPr>
      </w:pPr>
      <w:r>
        <w:rPr>
          <w:rFonts w:hint="eastAsia" w:ascii="宋体" w:hAnsi="宋体" w:cs="宋体"/>
          <w:b/>
          <w:bCs/>
          <w:sz w:val="24"/>
        </w:rPr>
        <w:t>▲</w:t>
      </w:r>
      <w:r>
        <w:rPr>
          <w:rFonts w:hint="eastAsia" w:ascii="宋体" w:hAnsi="宋体" w:cs="宋体"/>
          <w:b/>
          <w:sz w:val="24"/>
        </w:rPr>
        <w:t>表示统考科目或联考科目，考试题型、考试大纲以教育部公布为准。其他为自命题科目。</w:t>
      </w:r>
    </w:p>
    <w:p>
      <w:pPr>
        <w:widowControl/>
        <w:adjustRightInd w:val="0"/>
        <w:snapToGrid w:val="0"/>
        <w:rPr>
          <w:rFonts w:hint="eastAsia" w:ascii="宋体" w:hAnsi="宋体" w:cs="宋体"/>
          <w:b/>
          <w:bCs/>
          <w:kern w:val="0"/>
          <w:sz w:val="24"/>
        </w:rPr>
      </w:pPr>
    </w:p>
    <w:p>
      <w:pPr>
        <w:adjustRightInd w:val="0"/>
        <w:snapToGrid w:val="0"/>
        <w:rPr>
          <w:rFonts w:hint="eastAsia" w:ascii="宋体" w:hAnsi="宋体" w:cs="宋体"/>
          <w:b/>
          <w:sz w:val="24"/>
        </w:rPr>
      </w:pPr>
      <w:r>
        <w:rPr>
          <w:rFonts w:hint="eastAsia" w:ascii="宋体" w:hAnsi="宋体" w:cs="宋体"/>
          <w:b/>
          <w:sz w:val="24"/>
        </w:rPr>
        <w:t>考试题型及相应分值：</w:t>
      </w:r>
    </w:p>
    <w:p>
      <w:pPr>
        <w:widowControl/>
        <w:adjustRightInd w:val="0"/>
        <w:snapToGrid w:val="0"/>
        <w:rPr>
          <w:rFonts w:hint="eastAsia" w:ascii="宋体" w:hAnsi="宋体" w:cs="宋体"/>
          <w:b/>
          <w:color w:val="000000"/>
          <w:kern w:val="0"/>
          <w:sz w:val="24"/>
        </w:rPr>
      </w:pPr>
      <w:r>
        <w:rPr>
          <w:rFonts w:hint="eastAsia" w:ascii="宋体" w:hAnsi="宋体" w:cs="宋体"/>
          <w:b/>
          <w:color w:val="000000"/>
          <w:kern w:val="0"/>
          <w:sz w:val="24"/>
        </w:rPr>
        <w:t>《经济学基础》</w:t>
      </w:r>
    </w:p>
    <w:p>
      <w:pPr>
        <w:shd w:val="solid" w:color="FFFFFF" w:fill="auto"/>
        <w:autoSpaceDN w:val="0"/>
        <w:adjustRightInd w:val="0"/>
        <w:snapToGrid w:val="0"/>
        <w:rPr>
          <w:rFonts w:hint="eastAsia" w:ascii="宋体" w:hAnsi="宋体" w:cs="宋体"/>
          <w:color w:val="000000"/>
          <w:sz w:val="24"/>
          <w:szCs w:val="21"/>
          <w:shd w:val="clear" w:color="auto" w:fill="FFFFFF"/>
        </w:rPr>
      </w:pPr>
      <w:r>
        <w:rPr>
          <w:rFonts w:hint="eastAsia" w:ascii="宋体" w:hAnsi="宋体" w:cs="宋体"/>
          <w:color w:val="000000"/>
          <w:sz w:val="24"/>
          <w:szCs w:val="21"/>
          <w:shd w:val="clear" w:color="auto" w:fill="FFFFFF"/>
        </w:rPr>
        <w:t>（1）名词解释（6题，每题5分，共30分）</w:t>
      </w:r>
    </w:p>
    <w:p>
      <w:pPr>
        <w:shd w:val="solid" w:color="FFFFFF" w:fill="auto"/>
        <w:autoSpaceDN w:val="0"/>
        <w:adjustRightInd w:val="0"/>
        <w:snapToGrid w:val="0"/>
        <w:rPr>
          <w:rFonts w:hint="eastAsia" w:ascii="宋体" w:hAnsi="宋体" w:cs="宋体"/>
          <w:color w:val="000000"/>
          <w:sz w:val="24"/>
          <w:szCs w:val="21"/>
          <w:shd w:val="clear" w:color="auto" w:fill="FFFFFF"/>
        </w:rPr>
      </w:pPr>
      <w:r>
        <w:rPr>
          <w:rFonts w:hint="eastAsia" w:ascii="宋体" w:hAnsi="宋体" w:cs="宋体"/>
          <w:color w:val="000000"/>
          <w:sz w:val="24"/>
          <w:szCs w:val="21"/>
          <w:shd w:val="clear" w:color="auto" w:fill="FFFFFF"/>
        </w:rPr>
        <w:t>（2）简答题（6题，每题10分，共60分）</w:t>
      </w:r>
    </w:p>
    <w:p>
      <w:pPr>
        <w:shd w:val="solid" w:color="FFFFFF" w:fill="auto"/>
        <w:autoSpaceDN w:val="0"/>
        <w:adjustRightInd w:val="0"/>
        <w:snapToGrid w:val="0"/>
        <w:rPr>
          <w:rFonts w:hint="eastAsia" w:ascii="宋体" w:hAnsi="宋体" w:cs="宋体"/>
          <w:color w:val="000000"/>
          <w:sz w:val="24"/>
          <w:szCs w:val="21"/>
          <w:shd w:val="clear" w:color="auto" w:fill="FFFFFF"/>
        </w:rPr>
      </w:pPr>
      <w:r>
        <w:rPr>
          <w:rFonts w:hint="eastAsia" w:ascii="宋体" w:hAnsi="宋体" w:cs="宋体"/>
          <w:color w:val="000000"/>
          <w:sz w:val="24"/>
          <w:szCs w:val="21"/>
          <w:shd w:val="clear" w:color="auto" w:fill="FFFFFF"/>
        </w:rPr>
        <w:t>（3）论述题（2题，每题30分，共60分）</w:t>
      </w:r>
    </w:p>
    <w:p>
      <w:pPr>
        <w:shd w:val="solid" w:color="FFFFFF" w:fill="auto"/>
        <w:autoSpaceDN w:val="0"/>
        <w:adjustRightInd w:val="0"/>
        <w:snapToGrid w:val="0"/>
        <w:rPr>
          <w:rFonts w:hint="eastAsia" w:ascii="宋体" w:hAnsi="宋体" w:cs="宋体"/>
          <w:kern w:val="0"/>
          <w:sz w:val="24"/>
        </w:rPr>
      </w:pPr>
      <w:r>
        <w:rPr>
          <w:rFonts w:hint="eastAsia" w:ascii="宋体" w:hAnsi="宋体" w:cs="宋体"/>
          <w:color w:val="000000"/>
          <w:sz w:val="24"/>
          <w:shd w:val="clear" w:color="auto" w:fill="FFFFFF"/>
        </w:rPr>
        <w:t>参考书目：高鸿业：《西方经济学(宏/微观)》第7版 ，中国人民大学出版社2018年</w:t>
      </w:r>
    </w:p>
    <w:p>
      <w:pPr>
        <w:widowControl/>
        <w:adjustRightInd w:val="0"/>
        <w:snapToGrid w:val="0"/>
        <w:rPr>
          <w:rFonts w:hint="eastAsia" w:ascii="宋体" w:hAnsi="宋体" w:cs="宋体"/>
          <w:b/>
          <w:kern w:val="0"/>
          <w:sz w:val="24"/>
          <w:szCs w:val="20"/>
        </w:rPr>
      </w:pPr>
    </w:p>
    <w:p>
      <w:pPr>
        <w:widowControl/>
        <w:adjustRightInd w:val="0"/>
        <w:snapToGrid w:val="0"/>
        <w:rPr>
          <w:rFonts w:hint="eastAsia" w:ascii="宋体" w:hAnsi="宋体" w:cs="宋体"/>
          <w:b/>
          <w:kern w:val="0"/>
          <w:sz w:val="24"/>
          <w:szCs w:val="20"/>
        </w:rPr>
      </w:pPr>
      <w:r>
        <w:rPr>
          <w:rFonts w:hint="eastAsia" w:ascii="宋体" w:hAnsi="宋体" w:cs="宋体"/>
          <w:b/>
          <w:kern w:val="0"/>
          <w:sz w:val="24"/>
          <w:szCs w:val="20"/>
        </w:rPr>
        <w:t>《国际经济学[含国际贸易实务]》</w:t>
      </w:r>
    </w:p>
    <w:p>
      <w:pPr>
        <w:widowControl/>
        <w:adjustRightInd w:val="0"/>
        <w:snapToGrid w:val="0"/>
        <w:rPr>
          <w:rFonts w:hint="eastAsia" w:ascii="宋体" w:hAnsi="宋体" w:cs="宋体"/>
          <w:kern w:val="0"/>
          <w:sz w:val="24"/>
        </w:rPr>
      </w:pPr>
      <w:r>
        <w:rPr>
          <w:rFonts w:hint="eastAsia" w:ascii="宋体" w:hAnsi="宋体" w:cs="宋体"/>
          <w:kern w:val="0"/>
          <w:sz w:val="24"/>
        </w:rPr>
        <w:t xml:space="preserve">（1）问答题（5题，每题10分，共50分） </w:t>
      </w:r>
    </w:p>
    <w:p>
      <w:pPr>
        <w:widowControl/>
        <w:adjustRightInd w:val="0"/>
        <w:snapToGrid w:val="0"/>
        <w:rPr>
          <w:rFonts w:hint="eastAsia" w:ascii="宋体" w:hAnsi="宋体" w:cs="宋体"/>
          <w:kern w:val="0"/>
          <w:sz w:val="24"/>
        </w:rPr>
      </w:pPr>
      <w:r>
        <w:rPr>
          <w:rFonts w:hint="eastAsia" w:ascii="宋体" w:hAnsi="宋体" w:cs="宋体"/>
          <w:kern w:val="0"/>
          <w:sz w:val="24"/>
        </w:rPr>
        <w:t xml:space="preserve">（2）论述题（2题，每题25分，共50分） </w:t>
      </w:r>
    </w:p>
    <w:p>
      <w:pPr>
        <w:adjustRightInd w:val="0"/>
        <w:snapToGrid w:val="0"/>
        <w:rPr>
          <w:rFonts w:hint="eastAsia" w:ascii="宋体" w:hAnsi="宋体" w:cs="宋体"/>
          <w:b/>
          <w:sz w:val="24"/>
        </w:rPr>
      </w:pPr>
    </w:p>
    <w:p>
      <w:pPr>
        <w:adjustRightInd w:val="0"/>
        <w:snapToGrid w:val="0"/>
        <w:rPr>
          <w:rFonts w:hint="eastAsia" w:ascii="宋体" w:hAnsi="宋体" w:cs="宋体"/>
          <w:b/>
          <w:sz w:val="24"/>
        </w:rPr>
      </w:pPr>
      <w:r>
        <w:rPr>
          <w:rFonts w:hint="eastAsia" w:ascii="宋体" w:hAnsi="宋体" w:cs="宋体"/>
          <w:b/>
          <w:sz w:val="24"/>
        </w:rPr>
        <w:t>考试大纲</w:t>
      </w:r>
    </w:p>
    <w:p>
      <w:pPr>
        <w:widowControl/>
        <w:adjustRightInd w:val="0"/>
        <w:snapToGrid w:val="0"/>
        <w:jc w:val="center"/>
        <w:rPr>
          <w:rFonts w:hint="eastAsia" w:ascii="黑体" w:hAnsi="黑体" w:eastAsia="黑体" w:cs="黑体"/>
          <w:b/>
          <w:bCs/>
          <w:kern w:val="0"/>
          <w:sz w:val="36"/>
          <w:szCs w:val="36"/>
        </w:rPr>
      </w:pPr>
      <w:r>
        <w:rPr>
          <w:rFonts w:hint="eastAsia" w:ascii="黑体" w:hAnsi="黑体" w:eastAsia="黑体" w:cs="黑体"/>
          <w:b/>
          <w:bCs/>
          <w:kern w:val="0"/>
          <w:sz w:val="36"/>
          <w:szCs w:val="36"/>
        </w:rPr>
        <w:t>《经济学基础》</w:t>
      </w:r>
    </w:p>
    <w:p>
      <w:pPr>
        <w:adjustRightInd w:val="0"/>
        <w:snapToGrid w:val="0"/>
        <w:rPr>
          <w:rFonts w:hint="eastAsia" w:ascii="宋体" w:hAnsi="宋体" w:cs="宋体"/>
          <w:b/>
          <w:color w:val="000000"/>
          <w:kern w:val="0"/>
          <w:sz w:val="24"/>
        </w:rPr>
      </w:pPr>
      <w:r>
        <w:rPr>
          <w:rFonts w:hint="eastAsia" w:ascii="宋体" w:hAnsi="宋体" w:cs="宋体"/>
          <w:b/>
          <w:color w:val="000000"/>
          <w:kern w:val="0"/>
          <w:sz w:val="24"/>
        </w:rPr>
        <w:t>《经济学基础》考试大纲概述：</w:t>
      </w:r>
    </w:p>
    <w:p>
      <w:pPr>
        <w:widowControl/>
        <w:adjustRightInd w:val="0"/>
        <w:snapToGrid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内容主要包括价格理论，消费者行为理论（效用理论），生产理论，成本理论，竞争市场</w:t>
      </w:r>
      <w:r>
        <w:rPr>
          <w:rFonts w:ascii="宋体" w:hAnsi="宋体" w:cs="宋体"/>
          <w:color w:val="000000"/>
          <w:sz w:val="24"/>
          <w:shd w:val="clear" w:color="auto" w:fill="FFFFFF"/>
        </w:rPr>
        <w:t>理论，</w:t>
      </w:r>
      <w:r>
        <w:rPr>
          <w:rFonts w:hint="eastAsia" w:ascii="宋体" w:hAnsi="宋体" w:cs="宋体"/>
          <w:color w:val="000000"/>
          <w:sz w:val="24"/>
          <w:shd w:val="clear" w:color="auto" w:fill="FFFFFF"/>
        </w:rPr>
        <w:t>国民收入决定理论，产品</w:t>
      </w:r>
      <w:r>
        <w:rPr>
          <w:rFonts w:ascii="宋体" w:hAnsi="宋体" w:cs="宋体"/>
          <w:color w:val="000000"/>
          <w:sz w:val="24"/>
          <w:shd w:val="clear" w:color="auto" w:fill="FFFFFF"/>
        </w:rPr>
        <w:t>与货币市场均衡理论，</w:t>
      </w:r>
      <w:r>
        <w:rPr>
          <w:rFonts w:hint="eastAsia" w:ascii="宋体" w:hAnsi="宋体" w:cs="宋体"/>
          <w:color w:val="000000"/>
          <w:sz w:val="24"/>
          <w:shd w:val="clear" w:color="auto" w:fill="FFFFFF"/>
        </w:rPr>
        <w:t>宏观经济政策分析，失业与通货膨胀理论等。测试学生对微观经济学和宏观经济学的基本原理、基本工具和方法的掌握程度，了解其是否具有初步应用这些基本原理和基本方法分析有关问题的能力。</w:t>
      </w:r>
    </w:p>
    <w:p>
      <w:pPr>
        <w:widowControl/>
        <w:adjustRightInd w:val="0"/>
        <w:snapToGrid w:val="0"/>
        <w:rPr>
          <w:rFonts w:ascii="宋体" w:hAnsi="宋体" w:cs="宋体"/>
          <w:b/>
          <w:bCs/>
          <w:color w:val="000000"/>
          <w:sz w:val="24"/>
          <w:shd w:val="clear" w:color="auto" w:fill="FFFFFF"/>
        </w:rPr>
      </w:pPr>
    </w:p>
    <w:p>
      <w:pPr>
        <w:widowControl/>
        <w:adjustRightInd w:val="0"/>
        <w:snapToGrid w:val="0"/>
        <w:rPr>
          <w:rFonts w:hint="eastAsia" w:ascii="宋体" w:hAnsi="宋体" w:cs="宋体"/>
          <w:color w:val="000000"/>
          <w:sz w:val="24"/>
          <w:shd w:val="clear" w:color="auto" w:fill="FFFFFF"/>
        </w:rPr>
      </w:pPr>
      <w:r>
        <w:rPr>
          <w:rFonts w:hint="eastAsia" w:ascii="宋体" w:hAnsi="宋体" w:cs="宋体"/>
          <w:b/>
          <w:bCs/>
          <w:color w:val="000000"/>
          <w:sz w:val="24"/>
          <w:shd w:val="clear" w:color="auto" w:fill="FFFFFF"/>
        </w:rPr>
        <w:t>第一部分  微观经济理论</w:t>
      </w:r>
    </w:p>
    <w:p>
      <w:pPr>
        <w:widowControl/>
        <w:adjustRightInd w:val="0"/>
        <w:snapToGrid w:val="0"/>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一、需求、供给与价格理论</w:t>
      </w:r>
    </w:p>
    <w:p>
      <w:pPr>
        <w:numPr>
          <w:ilvl w:val="0"/>
          <w:numId w:val="1"/>
        </w:numPr>
        <w:shd w:val="solid" w:color="FFFFFF" w:fill="auto"/>
        <w:autoSpaceDN w:val="0"/>
        <w:adjustRightInd w:val="0"/>
        <w:snapToGrid w:val="0"/>
        <w:rPr>
          <w:rFonts w:hint="eastAsia" w:ascii="宋体" w:hAnsi="宋体" w:cs="宋体"/>
          <w:color w:val="000000"/>
          <w:spacing w:val="-17"/>
          <w:sz w:val="24"/>
          <w:shd w:val="clear" w:color="auto" w:fill="FFFFFF"/>
        </w:rPr>
      </w:pPr>
      <w:r>
        <w:rPr>
          <w:rFonts w:hint="eastAsia" w:ascii="宋体" w:hAnsi="宋体" w:cs="宋体"/>
          <w:color w:val="000000"/>
          <w:spacing w:val="-17"/>
          <w:sz w:val="24"/>
          <w:shd w:val="clear" w:color="auto" w:fill="FFFFFF"/>
        </w:rPr>
        <w:t>需求理论</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pacing w:val="-13"/>
          <w:sz w:val="24"/>
          <w:shd w:val="clear" w:color="auto" w:fill="FFFFFF"/>
        </w:rPr>
        <w:t xml:space="preserve">     </w:t>
      </w:r>
      <w:r>
        <w:rPr>
          <w:rFonts w:hint="eastAsia" w:ascii="宋体" w:hAnsi="宋体" w:cs="宋体"/>
          <w:color w:val="000000"/>
          <w:sz w:val="24"/>
          <w:shd w:val="clear" w:color="auto" w:fill="FFFFFF"/>
        </w:rPr>
        <w:t>需求、需求表、需求曲线与需求规律      影响需求的因素：需求函数</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需求定理                              需求量的变动与需求的变动</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供给理论</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pacing w:val="-13"/>
          <w:sz w:val="24"/>
          <w:shd w:val="clear" w:color="auto" w:fill="FFFFFF"/>
        </w:rPr>
        <w:t xml:space="preserve">    </w:t>
      </w:r>
      <w:r>
        <w:rPr>
          <w:rFonts w:hint="eastAsia" w:ascii="宋体" w:hAnsi="宋体" w:cs="宋体"/>
          <w:color w:val="000000"/>
          <w:sz w:val="24"/>
          <w:shd w:val="clear" w:color="auto" w:fill="FFFFFF"/>
        </w:rPr>
        <w:t xml:space="preserve"> 供给、供给表、供给曲线                影响供给的因素：供给函数</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供给定理                              供给量的变动与供给的变动</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价格的决定</w:t>
      </w:r>
    </w:p>
    <w:p>
      <w:pPr>
        <w:shd w:val="solid" w:color="FFFFFF" w:fill="auto"/>
        <w:autoSpaceDN w:val="0"/>
        <w:adjustRightInd w:val="0"/>
        <w:snapToGrid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均衡价格含义及形成                    需求与供给变动对均衡的影响</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需求价格弹性</w:t>
      </w:r>
    </w:p>
    <w:p>
      <w:pPr>
        <w:shd w:val="solid" w:color="FFFFFF" w:fill="auto"/>
        <w:autoSpaceDN w:val="0"/>
        <w:adjustRightInd w:val="0"/>
        <w:snapToGrid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需求价格弹性的含义与分类              影响需求弹性的因素</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弹性理论的运用：需求弹性与总收益</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二、消费者行为理论（效用理论）</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效用</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基数效用论与序数效用论     总效用与边际效用      边际效用递减规律</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序数效用论</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无差异曲线及特征           消费可能线（预算线）   消费者均衡</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消费者行为理论的运用</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消费者剩余                    消费者行为与需求定理</w:t>
      </w:r>
    </w:p>
    <w:p>
      <w:pPr>
        <w:shd w:val="solid" w:color="FFFFFF" w:fill="auto"/>
        <w:autoSpaceDN w:val="0"/>
        <w:adjustRightInd w:val="0"/>
        <w:snapToGrid w:val="0"/>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三、生产理论</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生产要素与生产函数</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边际收益递减规律</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总产量、平均产量、边际产量的关系</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等产量线与等成本线</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规模报酬</w:t>
      </w:r>
    </w:p>
    <w:p>
      <w:pPr>
        <w:shd w:val="solid" w:color="FFFFFF" w:fill="auto"/>
        <w:autoSpaceDN w:val="0"/>
        <w:adjustRightInd w:val="0"/>
        <w:snapToGrid w:val="0"/>
        <w:rPr>
          <w:rFonts w:hint="eastAsia" w:ascii="宋体" w:hAnsi="宋体" w:cs="宋体"/>
          <w:bCs/>
          <w:color w:val="000000"/>
          <w:sz w:val="24"/>
          <w:shd w:val="clear" w:color="auto" w:fill="FFFFFF"/>
        </w:rPr>
      </w:pPr>
      <w:r>
        <w:rPr>
          <w:rFonts w:hint="eastAsia" w:ascii="宋体" w:hAnsi="宋体" w:cs="宋体"/>
          <w:bCs/>
          <w:color w:val="000000"/>
          <w:sz w:val="24"/>
          <w:shd w:val="clear" w:color="auto" w:fill="FFFFFF"/>
        </w:rPr>
        <w:t>四、成本与收益理论</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成本</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会计成本与机会成本             机会成本在企业决策中的作用</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短期成本</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短期成本的分类                 各类短期成本的变动规律及其关系</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长期成本</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长期总成本                     长期平均成本          长期边际成本</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收益与利润最大化</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总收益、平均收益与边际收益     利润最大化原则</w:t>
      </w:r>
    </w:p>
    <w:p>
      <w:pPr>
        <w:shd w:val="solid" w:color="FFFFFF" w:fill="auto"/>
        <w:autoSpaceDN w:val="0"/>
        <w:adjustRightInd w:val="0"/>
        <w:snapToGrid w:val="0"/>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五、竞争市场理论</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市场结构</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市场结构类型                   市场结构与企业行为的关系</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完全竞争市场</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完全竞争市场含义与特征     完全竞争市场需求曲线、平均收益与边际收益</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利润最大化的基本原则       完全竞争市场上的短期均衡与长期均衡</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非完全竞争市场</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完全垄断、垄断竞争和寡头垄断市场的条件及其特征</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完全垄断厂商的需求曲线、平均收益与边际收益</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垄断市场上的短期均衡与长期均衡（了解）</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垄断竞争与完全竞争的比较</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垄断竞争市场上的产品差别竞争    </w:t>
      </w:r>
    </w:p>
    <w:p>
      <w:pPr>
        <w:shd w:val="solid" w:color="FFFFFF" w:fill="auto"/>
        <w:autoSpaceDN w:val="0"/>
        <w:adjustRightInd w:val="0"/>
        <w:snapToGrid w:val="0"/>
        <w:rPr>
          <w:rFonts w:hint="eastAsia" w:ascii="宋体" w:hAnsi="宋体" w:cs="宋体"/>
          <w:b/>
          <w:bCs/>
          <w:color w:val="000000"/>
          <w:sz w:val="24"/>
          <w:shd w:val="clear" w:color="auto" w:fill="FFFFFF"/>
        </w:rPr>
      </w:pP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b/>
          <w:bCs/>
          <w:color w:val="000000"/>
          <w:sz w:val="24"/>
          <w:shd w:val="clear" w:color="auto" w:fill="FFFFFF"/>
        </w:rPr>
        <w:t>第二部分  宏观经济理论</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一、国民收入决定理论</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国内生产总值</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国内生产总值的含义                       </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国内生产总值的计算方法</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实际国内生产总值与名义国内生产总值      </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国内生产总值与人均国内生产总值</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消费函数、储蓄函数</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乘数理论</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其他宏观经济指标（了解）</w:t>
      </w:r>
    </w:p>
    <w:p>
      <w:pPr>
        <w:shd w:val="solid" w:color="FFFFFF" w:fill="auto"/>
        <w:autoSpaceDN w:val="0"/>
        <w:adjustRightInd w:val="0"/>
        <w:snapToGrid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物价指数                       失业率</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二、产品市场和货币市场的一般均衡理论</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投资的决定</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实际利率与投资                  边际效率</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投资边际效率曲线                预期收益与投资</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商品市场的均衡（IS）曲线</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货币市场的均衡（LM）曲线</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利率的决定</w:t>
      </w:r>
    </w:p>
    <w:p>
      <w:pPr>
        <w:shd w:val="solid" w:color="FFFFFF" w:fill="auto"/>
        <w:autoSpaceDN w:val="0"/>
        <w:adjustRightInd w:val="0"/>
        <w:snapToGrid w:val="0"/>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 xml:space="preserve">三、宏观经济政策分析 </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财政政策和货币政策的影响</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                         货币政策</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财政政策和货币政策的影响         财政政策和货币政策的混合使用</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经济政策目标</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充分就业                         价格稳定 </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经济持续均衡增长                 国际收支平衡。</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财政政策工具                     自动稳定与相机抉择的财政政策</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功能财政和预算盈余               充分就业预算盈余与财政政策方向</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货币政策</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商业银行和中央银行               存款创造和货币供给</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债券价格与市场利息率的关系       货币政策及其工具</w:t>
      </w:r>
    </w:p>
    <w:p>
      <w:pPr>
        <w:shd w:val="solid" w:color="FFFFFF" w:fill="auto"/>
        <w:autoSpaceDN w:val="0"/>
        <w:adjustRightInd w:val="0"/>
        <w:snapToGrid w:val="0"/>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四、失业、通货膨胀理论</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失业理论</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失业的分类                       自然失业率和自然就业率  </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失业的影响                       奥肯定律</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通货膨胀理论</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通货膨胀的含义与分类             通货膨胀对经济的影响  </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通货膨胀的原因                   需求拉动的通货膨胀理论    </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供给推动的通货膨胀理论           其他通货膨胀理论</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治理通货膨胀的对策</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菲利普斯曲线</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菲利普斯曲线的提出               菲利普斯曲线的政策含义</w:t>
      </w:r>
    </w:p>
    <w:p>
      <w:pPr>
        <w:shd w:val="solid" w:color="FFFFFF" w:fill="auto"/>
        <w:autoSpaceDN w:val="0"/>
        <w:adjustRightInd w:val="0"/>
        <w:snapToGrid w:val="0"/>
        <w:ind w:left="420"/>
        <w:rPr>
          <w:rFonts w:hint="eastAsia" w:ascii="宋体" w:hAnsi="宋体" w:cs="宋体"/>
          <w:color w:val="000000"/>
          <w:sz w:val="24"/>
          <w:shd w:val="clear" w:color="auto" w:fill="FFFFFF"/>
        </w:rPr>
      </w:pPr>
    </w:p>
    <w:p>
      <w:pPr>
        <w:adjustRightInd w:val="0"/>
        <w:snapToGrid w:val="0"/>
        <w:rPr>
          <w:rFonts w:hint="eastAsia" w:ascii="宋体" w:hAnsi="宋体" w:cs="宋体"/>
          <w:b/>
          <w:color w:val="000000"/>
          <w:sz w:val="24"/>
        </w:rPr>
      </w:pPr>
    </w:p>
    <w:p>
      <w:pPr>
        <w:shd w:val="solid" w:color="FFFFFF" w:fill="auto"/>
        <w:autoSpaceDN w:val="0"/>
        <w:adjustRightInd w:val="0"/>
        <w:snapToGrid w:val="0"/>
        <w:ind w:firstLine="562"/>
        <w:jc w:val="center"/>
        <w:rPr>
          <w:rFonts w:hint="eastAsia" w:ascii="宋体" w:hAnsi="宋体" w:cs="宋体"/>
          <w:b/>
          <w:bCs/>
          <w:kern w:val="0"/>
          <w:sz w:val="32"/>
          <w:szCs w:val="32"/>
        </w:rPr>
      </w:pPr>
      <w:r>
        <w:rPr>
          <w:rFonts w:hint="eastAsia" w:ascii="黑体" w:hAnsi="黑体" w:eastAsia="黑体" w:cs="黑体"/>
          <w:b/>
          <w:bCs/>
          <w:kern w:val="0"/>
          <w:sz w:val="36"/>
          <w:szCs w:val="36"/>
        </w:rPr>
        <w:t>《国际经济学》</w:t>
      </w:r>
    </w:p>
    <w:p>
      <w:pPr>
        <w:widowControl/>
        <w:adjustRightInd w:val="0"/>
        <w:snapToGrid w:val="0"/>
        <w:rPr>
          <w:rFonts w:hint="eastAsia" w:ascii="宋体" w:hAnsi="宋体" w:cs="宋体"/>
          <w:b/>
          <w:color w:val="000000"/>
          <w:kern w:val="0"/>
          <w:sz w:val="24"/>
        </w:rPr>
      </w:pPr>
      <w:r>
        <w:rPr>
          <w:rFonts w:hint="eastAsia" w:ascii="宋体" w:hAnsi="宋体" w:cs="宋体"/>
          <w:b/>
          <w:color w:val="000000"/>
          <w:kern w:val="0"/>
          <w:sz w:val="24"/>
        </w:rPr>
        <w:t>《国际经济学》考试大纲概述：</w:t>
      </w:r>
    </w:p>
    <w:p>
      <w:pPr>
        <w:widowControl/>
        <w:adjustRightInd w:val="0"/>
        <w:snapToGrid w:val="0"/>
        <w:spacing w:before="156" w:beforeLines="50"/>
        <w:ind w:firstLine="480" w:firstLineChars="200"/>
        <w:rPr>
          <w:rFonts w:hint="eastAsia" w:ascii="宋体" w:hAnsi="宋体" w:cs="宋体"/>
          <w:kern w:val="0"/>
          <w:sz w:val="24"/>
        </w:rPr>
      </w:pPr>
      <w:r>
        <w:rPr>
          <w:rFonts w:hint="eastAsia" w:ascii="宋体" w:hAnsi="宋体" w:cs="宋体"/>
          <w:kern w:val="0"/>
          <w:sz w:val="24"/>
        </w:rPr>
        <w:t>国际经济学：微观国际经济学、宏观国际经济学、进出口贸易实务。考察学生对国际经济学的基本理论、基本政策及本学科学术动态的掌握程度；考察学生分析国际经济现实问题的方法和基本思路；注重对学生知识结构和学术功底的考察，考察学生综合运用国际贸易学、国际金融学等学科知识，分析、阐释国际经济现象以及相关文献的能力。</w:t>
      </w:r>
    </w:p>
    <w:p>
      <w:pPr>
        <w:widowControl/>
        <w:shd w:val="clear" w:color="auto" w:fill="FFFFFF"/>
        <w:adjustRightInd w:val="0"/>
        <w:snapToGrid w:val="0"/>
        <w:ind w:firstLine="482" w:firstLineChars="200"/>
        <w:jc w:val="left"/>
        <w:rPr>
          <w:rFonts w:hint="eastAsia" w:ascii="宋体" w:hAnsi="宋体" w:cs="宋体"/>
          <w:b/>
          <w:kern w:val="0"/>
          <w:sz w:val="24"/>
        </w:rPr>
      </w:pPr>
      <w:r>
        <w:rPr>
          <w:rFonts w:hint="eastAsia" w:ascii="宋体" w:hAnsi="宋体" w:cs="宋体"/>
          <w:b/>
          <w:kern w:val="0"/>
          <w:sz w:val="24"/>
        </w:rPr>
        <w:t>第一部分　微观国际经济学</w:t>
      </w:r>
    </w:p>
    <w:p>
      <w:pPr>
        <w:widowControl/>
        <w:shd w:val="clear" w:color="auto" w:fill="FFFFFF"/>
        <w:adjustRightInd w:val="0"/>
        <w:snapToGrid w:val="0"/>
        <w:ind w:firstLine="482" w:firstLineChars="200"/>
        <w:jc w:val="left"/>
        <w:rPr>
          <w:rFonts w:hint="eastAsia" w:ascii="宋体" w:hAnsi="宋体" w:cs="宋体"/>
          <w:b/>
          <w:kern w:val="0"/>
          <w:sz w:val="24"/>
        </w:rPr>
      </w:pPr>
      <w:r>
        <w:rPr>
          <w:rFonts w:hint="eastAsia" w:ascii="宋体" w:hAnsi="宋体" w:cs="宋体"/>
          <w:b/>
          <w:kern w:val="0"/>
          <w:sz w:val="24"/>
        </w:rPr>
        <w:t>一、劳动生产率与比较利益：李嘉图原理</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重商主义的贸易理论</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w:t>
      </w:r>
      <w:r>
        <w:rPr>
          <w:rFonts w:hint="eastAsia" w:ascii="宋体" w:hAnsi="宋体" w:cs="宋体"/>
          <w:kern w:val="0"/>
          <w:sz w:val="24"/>
        </w:rPr>
        <w:t xml:space="preserve"> 绝对利益论</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w:t>
      </w:r>
      <w:r>
        <w:rPr>
          <w:rFonts w:hint="eastAsia" w:ascii="宋体" w:hAnsi="宋体" w:cs="宋体"/>
          <w:kern w:val="0"/>
          <w:sz w:val="24"/>
        </w:rPr>
        <w:t xml:space="preserve"> 比较利益原理</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w:t>
      </w:r>
      <w:r>
        <w:rPr>
          <w:rFonts w:hint="eastAsia" w:ascii="宋体" w:hAnsi="宋体" w:cs="宋体"/>
          <w:kern w:val="0"/>
          <w:sz w:val="24"/>
        </w:rPr>
        <w:t xml:space="preserve"> 大国经济模型</w:t>
      </w:r>
    </w:p>
    <w:p>
      <w:pPr>
        <w:widowControl/>
        <w:shd w:val="clear" w:color="auto" w:fill="FFFFFF"/>
        <w:adjustRightInd w:val="0"/>
        <w:snapToGrid w:val="0"/>
        <w:ind w:firstLine="482" w:firstLineChars="200"/>
        <w:jc w:val="left"/>
        <w:rPr>
          <w:rFonts w:hint="eastAsia" w:ascii="宋体" w:hAnsi="宋体" w:cs="宋体"/>
          <w:b/>
          <w:kern w:val="0"/>
          <w:sz w:val="24"/>
        </w:rPr>
      </w:pPr>
      <w:r>
        <w:rPr>
          <w:rFonts w:hint="eastAsia" w:ascii="宋体" w:hAnsi="宋体" w:cs="宋体"/>
          <w:b/>
          <w:kern w:val="0"/>
          <w:sz w:val="24"/>
        </w:rPr>
        <w:t>二、俄林-赫克歇尔模型</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w:t>
      </w:r>
      <w:r>
        <w:rPr>
          <w:rFonts w:hint="eastAsia" w:ascii="宋体" w:hAnsi="宋体" w:cs="宋体"/>
          <w:kern w:val="0"/>
          <w:sz w:val="24"/>
        </w:rPr>
        <w:t xml:space="preserve"> 封闭经济的均衡</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俄林-赫克歇尔模型</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w:t>
      </w:r>
      <w:r>
        <w:rPr>
          <w:rFonts w:hint="eastAsia" w:ascii="宋体" w:hAnsi="宋体" w:cs="宋体"/>
          <w:kern w:val="0"/>
          <w:sz w:val="24"/>
        </w:rPr>
        <w:t xml:space="preserve"> 俄林-赫克歇尔定理与里昂惕夫之谜</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w:t>
      </w:r>
      <w:r>
        <w:rPr>
          <w:rFonts w:hint="eastAsia" w:ascii="宋体" w:hAnsi="宋体" w:cs="宋体"/>
          <w:kern w:val="0"/>
          <w:sz w:val="24"/>
        </w:rPr>
        <w:t xml:space="preserve"> 大国经济</w:t>
      </w:r>
    </w:p>
    <w:p>
      <w:pPr>
        <w:widowControl/>
        <w:shd w:val="clear" w:color="auto" w:fill="FFFFFF"/>
        <w:adjustRightInd w:val="0"/>
        <w:snapToGrid w:val="0"/>
        <w:ind w:firstLine="482" w:firstLineChars="200"/>
        <w:jc w:val="left"/>
        <w:rPr>
          <w:rFonts w:hint="eastAsia" w:ascii="宋体" w:hAnsi="宋体" w:cs="宋体"/>
          <w:b/>
          <w:kern w:val="0"/>
          <w:sz w:val="24"/>
        </w:rPr>
      </w:pPr>
      <w:r>
        <w:rPr>
          <w:rFonts w:hint="eastAsia" w:ascii="宋体" w:hAnsi="宋体" w:cs="宋体"/>
          <w:b/>
          <w:kern w:val="0"/>
          <w:sz w:val="24"/>
        </w:rPr>
        <w:t>三、制成品贸易</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规模经济与贸易</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对差别产品的需求与贸易</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垄断竞争市场与贸易</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w:t>
      </w:r>
      <w:r>
        <w:rPr>
          <w:rFonts w:hint="eastAsia" w:ascii="宋体" w:hAnsi="宋体" w:cs="宋体"/>
          <w:kern w:val="0"/>
          <w:sz w:val="24"/>
        </w:rPr>
        <w:t xml:space="preserve"> 产品的生命周期与贸易</w:t>
      </w:r>
    </w:p>
    <w:p>
      <w:pPr>
        <w:widowControl/>
        <w:shd w:val="clear" w:color="auto" w:fill="FFFFFF"/>
        <w:adjustRightInd w:val="0"/>
        <w:snapToGrid w:val="0"/>
        <w:ind w:firstLine="482" w:firstLineChars="200"/>
        <w:jc w:val="left"/>
        <w:rPr>
          <w:rFonts w:hint="eastAsia" w:ascii="宋体" w:hAnsi="宋体" w:cs="宋体"/>
          <w:b/>
          <w:kern w:val="0"/>
          <w:sz w:val="24"/>
        </w:rPr>
      </w:pPr>
      <w:r>
        <w:rPr>
          <w:rFonts w:hint="eastAsia" w:ascii="宋体" w:hAnsi="宋体" w:cs="宋体"/>
          <w:b/>
          <w:kern w:val="0"/>
          <w:sz w:val="24"/>
        </w:rPr>
        <w:t>四、产品内贸易</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产品内贸易模型</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w:t>
      </w:r>
      <w:r>
        <w:rPr>
          <w:rFonts w:hint="eastAsia" w:ascii="宋体" w:hAnsi="宋体" w:cs="宋体"/>
          <w:kern w:val="0"/>
          <w:sz w:val="24"/>
        </w:rPr>
        <w:t xml:space="preserve"> 产品内贸易的效应</w:t>
      </w:r>
    </w:p>
    <w:p>
      <w:pPr>
        <w:widowControl/>
        <w:shd w:val="clear" w:color="auto" w:fill="FFFFFF"/>
        <w:adjustRightInd w:val="0"/>
        <w:snapToGrid w:val="0"/>
        <w:ind w:firstLine="482" w:firstLineChars="200"/>
        <w:jc w:val="left"/>
        <w:rPr>
          <w:rFonts w:hint="eastAsia" w:ascii="宋体" w:hAnsi="宋体" w:cs="宋体"/>
          <w:b/>
          <w:kern w:val="0"/>
          <w:sz w:val="24"/>
        </w:rPr>
      </w:pPr>
      <w:r>
        <w:rPr>
          <w:rFonts w:hint="eastAsia" w:ascii="宋体" w:hAnsi="宋体" w:cs="宋体"/>
          <w:b/>
          <w:kern w:val="0"/>
          <w:sz w:val="24"/>
        </w:rPr>
        <w:t>五、经济地理与国际贸易</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w:t>
      </w:r>
      <w:r>
        <w:rPr>
          <w:rFonts w:hint="eastAsia" w:ascii="宋体" w:hAnsi="宋体" w:cs="宋体"/>
          <w:kern w:val="0"/>
          <w:sz w:val="24"/>
        </w:rPr>
        <w:t xml:space="preserve"> 封闭经济：中心-外围模型</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w:t>
      </w:r>
      <w:r>
        <w:rPr>
          <w:rFonts w:hint="eastAsia" w:ascii="宋体" w:hAnsi="宋体" w:cs="宋体"/>
          <w:kern w:val="0"/>
          <w:sz w:val="24"/>
        </w:rPr>
        <w:t xml:space="preserve"> 开放经济：国际专业化</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开放经济：贸易的引力模型</w:t>
      </w:r>
    </w:p>
    <w:p>
      <w:pPr>
        <w:widowControl/>
        <w:shd w:val="clear" w:color="auto" w:fill="FFFFFF"/>
        <w:adjustRightInd w:val="0"/>
        <w:snapToGrid w:val="0"/>
        <w:ind w:firstLine="482" w:firstLineChars="200"/>
        <w:jc w:val="left"/>
        <w:rPr>
          <w:rFonts w:hint="eastAsia" w:ascii="宋体" w:hAnsi="宋体" w:cs="宋体"/>
          <w:b/>
          <w:kern w:val="0"/>
          <w:sz w:val="24"/>
        </w:rPr>
      </w:pPr>
      <w:r>
        <w:rPr>
          <w:rFonts w:hint="eastAsia" w:ascii="宋体" w:hAnsi="宋体" w:cs="宋体"/>
          <w:b/>
          <w:kern w:val="0"/>
          <w:sz w:val="24"/>
        </w:rPr>
        <w:t>六、贸易保护理论</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贸易保护的形式</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关税理论</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出口补贴、出口税收与进口限额</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关税同盟与自由贸易区</w:t>
      </w:r>
    </w:p>
    <w:p>
      <w:pPr>
        <w:widowControl/>
        <w:shd w:val="clear" w:color="auto" w:fill="FFFFFF"/>
        <w:adjustRightInd w:val="0"/>
        <w:snapToGrid w:val="0"/>
        <w:ind w:firstLine="482" w:firstLineChars="200"/>
        <w:jc w:val="left"/>
        <w:rPr>
          <w:rFonts w:hint="eastAsia" w:ascii="宋体" w:hAnsi="宋体" w:cs="宋体"/>
          <w:b/>
          <w:kern w:val="0"/>
          <w:sz w:val="24"/>
        </w:rPr>
      </w:pPr>
      <w:r>
        <w:rPr>
          <w:rFonts w:hint="eastAsia" w:ascii="宋体" w:hAnsi="宋体" w:cs="宋体"/>
          <w:b/>
          <w:kern w:val="0"/>
          <w:sz w:val="24"/>
        </w:rPr>
        <w:t>七、战略贸易理论</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基本模型</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w:t>
      </w:r>
      <w:r>
        <w:rPr>
          <w:rFonts w:hint="eastAsia" w:ascii="宋体" w:hAnsi="宋体" w:cs="宋体"/>
          <w:kern w:val="0"/>
          <w:sz w:val="24"/>
        </w:rPr>
        <w:t xml:space="preserve"> 若干拓展</w:t>
      </w:r>
    </w:p>
    <w:p>
      <w:pPr>
        <w:widowControl/>
        <w:shd w:val="clear" w:color="auto" w:fill="FFFFFF"/>
        <w:adjustRightInd w:val="0"/>
        <w:snapToGrid w:val="0"/>
        <w:ind w:firstLine="482" w:firstLineChars="200"/>
        <w:jc w:val="left"/>
        <w:rPr>
          <w:rFonts w:hint="eastAsia" w:ascii="宋体" w:hAnsi="宋体" w:cs="宋体"/>
          <w:b/>
          <w:kern w:val="0"/>
          <w:sz w:val="24"/>
        </w:rPr>
      </w:pPr>
      <w:r>
        <w:rPr>
          <w:rFonts w:hint="eastAsia" w:ascii="宋体" w:hAnsi="宋体" w:cs="宋体"/>
          <w:b/>
          <w:kern w:val="0"/>
          <w:sz w:val="24"/>
        </w:rPr>
        <w:t>八、国际投资</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资本的国际转移过程</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资本国际流动与经济增长</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跨国公司与直接投资</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w:t>
      </w:r>
      <w:r>
        <w:rPr>
          <w:rFonts w:hint="eastAsia" w:ascii="宋体" w:hAnsi="宋体" w:cs="宋体"/>
          <w:kern w:val="0"/>
          <w:sz w:val="24"/>
        </w:rPr>
        <w:t xml:space="preserve"> 跨国公司的经济效应</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大国经济</w:t>
      </w:r>
    </w:p>
    <w:p>
      <w:pPr>
        <w:widowControl/>
        <w:shd w:val="clear" w:color="auto" w:fill="FFFFFF"/>
        <w:adjustRightInd w:val="0"/>
        <w:snapToGrid w:val="0"/>
        <w:ind w:firstLine="482" w:firstLineChars="200"/>
        <w:jc w:val="left"/>
        <w:rPr>
          <w:rFonts w:hint="eastAsia" w:ascii="宋体" w:hAnsi="宋体" w:cs="宋体"/>
          <w:b/>
          <w:kern w:val="0"/>
          <w:sz w:val="24"/>
        </w:rPr>
      </w:pPr>
      <w:r>
        <w:rPr>
          <w:rFonts w:hint="eastAsia" w:ascii="宋体" w:hAnsi="宋体" w:cs="宋体"/>
          <w:b/>
          <w:kern w:val="0"/>
          <w:sz w:val="24"/>
        </w:rPr>
        <w:t>九、 技术转移</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跨国公司与技术转移</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跨国公司对外直接投资的策略选择</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w:t>
      </w:r>
      <w:r>
        <w:rPr>
          <w:rFonts w:hint="eastAsia" w:ascii="宋体" w:hAnsi="宋体" w:cs="宋体"/>
          <w:kern w:val="0"/>
          <w:sz w:val="24"/>
        </w:rPr>
        <w:t xml:space="preserve"> 技术转移与东道国</w:t>
      </w:r>
    </w:p>
    <w:p>
      <w:pPr>
        <w:widowControl/>
        <w:shd w:val="clear" w:color="auto" w:fill="FFFFFF"/>
        <w:adjustRightInd w:val="0"/>
        <w:snapToGrid w:val="0"/>
        <w:ind w:firstLine="482" w:firstLineChars="200"/>
        <w:jc w:val="left"/>
        <w:rPr>
          <w:rFonts w:hint="eastAsia" w:ascii="宋体" w:hAnsi="宋体" w:cs="宋体"/>
          <w:b/>
          <w:kern w:val="0"/>
          <w:sz w:val="24"/>
        </w:rPr>
      </w:pPr>
      <w:r>
        <w:rPr>
          <w:rFonts w:hint="eastAsia" w:ascii="宋体" w:hAnsi="宋体" w:cs="宋体"/>
          <w:b/>
          <w:kern w:val="0"/>
          <w:sz w:val="24"/>
        </w:rPr>
        <w:t>第二部分　宏观国际经济学</w:t>
      </w:r>
    </w:p>
    <w:p>
      <w:pPr>
        <w:widowControl/>
        <w:shd w:val="clear" w:color="auto" w:fill="FFFFFF"/>
        <w:adjustRightInd w:val="0"/>
        <w:snapToGrid w:val="0"/>
        <w:ind w:firstLine="482" w:firstLineChars="200"/>
        <w:jc w:val="left"/>
        <w:rPr>
          <w:rFonts w:hint="eastAsia" w:ascii="宋体" w:hAnsi="宋体" w:cs="宋体"/>
          <w:b/>
          <w:kern w:val="0"/>
          <w:sz w:val="24"/>
        </w:rPr>
      </w:pPr>
      <w:r>
        <w:rPr>
          <w:rFonts w:hint="eastAsia" w:ascii="宋体" w:hAnsi="宋体" w:cs="宋体"/>
          <w:b/>
          <w:kern w:val="0"/>
          <w:sz w:val="24"/>
        </w:rPr>
        <w:t>十、开放经济下的核算框架</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从微观国际经济到宏观国际经济</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开放经济下的国际收支账户</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开放经济下的财产账户</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国民收入账户</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货币账户</w:t>
      </w:r>
    </w:p>
    <w:p>
      <w:pPr>
        <w:widowControl/>
        <w:shd w:val="clear" w:color="auto" w:fill="FFFFFF"/>
        <w:adjustRightInd w:val="0"/>
        <w:snapToGrid w:val="0"/>
        <w:ind w:firstLine="482" w:firstLineChars="200"/>
        <w:jc w:val="left"/>
        <w:rPr>
          <w:rFonts w:hint="eastAsia" w:ascii="宋体" w:hAnsi="宋体" w:cs="宋体"/>
          <w:b/>
          <w:kern w:val="0"/>
          <w:sz w:val="24"/>
        </w:rPr>
      </w:pPr>
      <w:r>
        <w:rPr>
          <w:rFonts w:hint="eastAsia" w:ascii="宋体" w:hAnsi="宋体" w:cs="宋体"/>
          <w:b/>
          <w:kern w:val="0"/>
          <w:sz w:val="24"/>
        </w:rPr>
        <w:t>十一、经常项目</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休谟的“价格-铸币”流动机制理论</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w:t>
      </w:r>
      <w:r>
        <w:rPr>
          <w:rFonts w:hint="eastAsia" w:ascii="宋体" w:hAnsi="宋体" w:cs="宋体"/>
          <w:kern w:val="0"/>
          <w:sz w:val="24"/>
        </w:rPr>
        <w:t xml:space="preserve"> 开放经济中的乘数分析</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弹性方法</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吸收方法</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米德综合：内部平衡与外部平衡</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货币方法</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经常项目的一般均衡模型：IS/LM/BP模型</w:t>
      </w:r>
    </w:p>
    <w:p>
      <w:pPr>
        <w:widowControl/>
        <w:shd w:val="clear" w:color="auto" w:fill="FFFFFF"/>
        <w:adjustRightInd w:val="0"/>
        <w:snapToGrid w:val="0"/>
        <w:ind w:firstLine="482" w:firstLineChars="200"/>
        <w:jc w:val="left"/>
        <w:rPr>
          <w:rFonts w:hint="eastAsia" w:ascii="宋体" w:hAnsi="宋体" w:cs="宋体"/>
          <w:b/>
          <w:kern w:val="0"/>
          <w:sz w:val="24"/>
        </w:rPr>
      </w:pPr>
      <w:r>
        <w:rPr>
          <w:rFonts w:hint="eastAsia" w:ascii="宋体" w:hAnsi="宋体" w:cs="宋体"/>
          <w:b/>
          <w:kern w:val="0"/>
          <w:sz w:val="24"/>
        </w:rPr>
        <w:t>十二、资本流动</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资本流动与国际收支的调节</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流量理论</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存量理论</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货币方法</w:t>
      </w:r>
    </w:p>
    <w:p>
      <w:pPr>
        <w:widowControl/>
        <w:shd w:val="clear" w:color="auto" w:fill="FFFFFF"/>
        <w:adjustRightInd w:val="0"/>
        <w:snapToGrid w:val="0"/>
        <w:ind w:firstLine="482" w:firstLineChars="200"/>
        <w:jc w:val="left"/>
        <w:rPr>
          <w:rFonts w:hint="eastAsia" w:ascii="宋体" w:hAnsi="宋体" w:cs="宋体"/>
          <w:b/>
          <w:kern w:val="0"/>
          <w:sz w:val="24"/>
        </w:rPr>
      </w:pPr>
      <w:r>
        <w:rPr>
          <w:rFonts w:hint="eastAsia" w:ascii="宋体" w:hAnsi="宋体" w:cs="宋体"/>
          <w:b/>
          <w:kern w:val="0"/>
          <w:sz w:val="24"/>
        </w:rPr>
        <w:t>十三、伸缩汇率</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w:t>
      </w:r>
      <w:r>
        <w:rPr>
          <w:rFonts w:hint="eastAsia" w:ascii="宋体" w:hAnsi="宋体" w:cs="宋体"/>
          <w:kern w:val="0"/>
          <w:sz w:val="24"/>
        </w:rPr>
        <w:t xml:space="preserve"> 经常项目差额模型</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购买力平价</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蒙代尔-弗莱明模型</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资产市场方法</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大国经济</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w:t>
      </w:r>
      <w:r>
        <w:rPr>
          <w:rFonts w:hint="eastAsia" w:ascii="宋体" w:hAnsi="宋体" w:cs="宋体"/>
          <w:kern w:val="0"/>
          <w:sz w:val="24"/>
        </w:rPr>
        <w:t xml:space="preserve"> 远期外汇市场</w:t>
      </w:r>
    </w:p>
    <w:p>
      <w:pPr>
        <w:widowControl/>
        <w:shd w:val="clear" w:color="auto" w:fill="FFFFFF"/>
        <w:adjustRightInd w:val="0"/>
        <w:snapToGrid w:val="0"/>
        <w:ind w:firstLine="482" w:firstLineChars="200"/>
        <w:jc w:val="left"/>
        <w:rPr>
          <w:rFonts w:hint="eastAsia" w:ascii="宋体" w:hAnsi="宋体" w:cs="宋体"/>
          <w:b/>
          <w:kern w:val="0"/>
          <w:sz w:val="24"/>
        </w:rPr>
      </w:pPr>
      <w:r>
        <w:rPr>
          <w:rFonts w:hint="eastAsia" w:ascii="宋体" w:hAnsi="宋体" w:cs="宋体"/>
          <w:b/>
          <w:kern w:val="0"/>
          <w:sz w:val="24"/>
        </w:rPr>
        <w:t>十四、 汇率政策</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w:t>
      </w:r>
      <w:r>
        <w:rPr>
          <w:rFonts w:hint="eastAsia" w:ascii="宋体" w:hAnsi="宋体" w:cs="宋体"/>
          <w:kern w:val="0"/>
          <w:sz w:val="24"/>
        </w:rPr>
        <w:t xml:space="preserve"> 浮动汇率政策</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w:t>
      </w:r>
      <w:r>
        <w:rPr>
          <w:rFonts w:hint="eastAsia" w:ascii="宋体" w:hAnsi="宋体" w:cs="宋体"/>
          <w:kern w:val="0"/>
          <w:sz w:val="24"/>
        </w:rPr>
        <w:t xml:space="preserve"> 固定汇率政策</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w:t>
      </w:r>
      <w:r>
        <w:rPr>
          <w:rFonts w:hint="eastAsia" w:ascii="宋体" w:hAnsi="宋体" w:cs="宋体"/>
          <w:kern w:val="0"/>
          <w:sz w:val="24"/>
        </w:rPr>
        <w:t xml:space="preserve"> 中间选择的汇率政策</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国际货币合作与通货区</w:t>
      </w:r>
    </w:p>
    <w:p>
      <w:pPr>
        <w:widowControl/>
        <w:shd w:val="clear" w:color="auto" w:fill="FFFFFF"/>
        <w:adjustRightInd w:val="0"/>
        <w:snapToGrid w:val="0"/>
        <w:ind w:firstLine="482" w:firstLineChars="200"/>
        <w:jc w:val="left"/>
        <w:rPr>
          <w:rFonts w:hint="eastAsia" w:ascii="宋体" w:hAnsi="宋体" w:cs="宋体"/>
          <w:b/>
          <w:kern w:val="0"/>
          <w:sz w:val="24"/>
        </w:rPr>
      </w:pPr>
      <w:r>
        <w:rPr>
          <w:rFonts w:hint="eastAsia" w:ascii="宋体" w:hAnsi="宋体" w:cs="宋体"/>
          <w:b/>
          <w:kern w:val="0"/>
          <w:sz w:val="24"/>
        </w:rPr>
        <w:t>第三部分　进出口贸易实务</w:t>
      </w:r>
    </w:p>
    <w:p>
      <w:pPr>
        <w:widowControl/>
        <w:shd w:val="clear" w:color="auto" w:fill="FFFFFF"/>
        <w:adjustRightInd w:val="0"/>
        <w:snapToGrid w:val="0"/>
        <w:ind w:firstLine="482" w:firstLineChars="200"/>
        <w:jc w:val="left"/>
        <w:rPr>
          <w:rFonts w:hint="eastAsia" w:ascii="宋体" w:hAnsi="宋体" w:cs="宋体"/>
          <w:b/>
          <w:kern w:val="0"/>
          <w:sz w:val="24"/>
        </w:rPr>
      </w:pPr>
      <w:r>
        <w:rPr>
          <w:rFonts w:hint="eastAsia" w:ascii="宋体" w:hAnsi="宋体" w:cs="宋体"/>
          <w:b/>
          <w:kern w:val="0"/>
          <w:sz w:val="24"/>
        </w:rPr>
        <w:t>十五、国际货物买卖合同与贸易术语</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国际货物买卖合同</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贸易术语</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国际货物买卖合同与贸易术语的关系</w:t>
      </w:r>
    </w:p>
    <w:p>
      <w:pPr>
        <w:widowControl/>
        <w:shd w:val="clear" w:color="auto" w:fill="FFFFFF"/>
        <w:adjustRightInd w:val="0"/>
        <w:snapToGrid w:val="0"/>
        <w:ind w:firstLine="482" w:firstLineChars="200"/>
        <w:jc w:val="left"/>
        <w:rPr>
          <w:rFonts w:hint="eastAsia" w:ascii="宋体" w:hAnsi="宋体" w:cs="宋体"/>
          <w:b/>
          <w:kern w:val="0"/>
          <w:sz w:val="24"/>
        </w:rPr>
      </w:pPr>
      <w:r>
        <w:rPr>
          <w:rFonts w:hint="eastAsia" w:ascii="宋体" w:hAnsi="宋体" w:cs="宋体"/>
          <w:b/>
          <w:kern w:val="0"/>
          <w:sz w:val="24"/>
        </w:rPr>
        <w:t>十六、合同标的物条款的制定及注意事项</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品名条款</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品质条款</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数量条款</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包装条款</w:t>
      </w:r>
    </w:p>
    <w:p>
      <w:pPr>
        <w:widowControl/>
        <w:shd w:val="clear" w:color="auto" w:fill="FFFFFF"/>
        <w:adjustRightInd w:val="0"/>
        <w:snapToGrid w:val="0"/>
        <w:ind w:firstLine="482" w:firstLineChars="200"/>
        <w:jc w:val="left"/>
        <w:rPr>
          <w:rFonts w:hint="eastAsia" w:ascii="宋体" w:hAnsi="宋体" w:cs="宋体"/>
          <w:b/>
          <w:kern w:val="0"/>
          <w:sz w:val="24"/>
        </w:rPr>
      </w:pPr>
      <w:r>
        <w:rPr>
          <w:rFonts w:hint="eastAsia" w:ascii="宋体" w:hAnsi="宋体" w:cs="宋体"/>
          <w:b/>
          <w:kern w:val="0"/>
          <w:sz w:val="24"/>
        </w:rPr>
        <w:t>十七、合同运输条款的制定及注意事项</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运输方式</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运输单据</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运输条款</w:t>
      </w:r>
    </w:p>
    <w:p>
      <w:pPr>
        <w:widowControl/>
        <w:shd w:val="clear" w:color="auto" w:fill="FFFFFF"/>
        <w:adjustRightInd w:val="0"/>
        <w:snapToGrid w:val="0"/>
        <w:ind w:firstLine="482" w:firstLineChars="200"/>
        <w:jc w:val="left"/>
        <w:rPr>
          <w:rFonts w:hint="eastAsia" w:ascii="宋体" w:hAnsi="宋体" w:cs="宋体"/>
          <w:b/>
          <w:kern w:val="0"/>
          <w:sz w:val="24"/>
        </w:rPr>
      </w:pPr>
      <w:r>
        <w:rPr>
          <w:rFonts w:hint="eastAsia" w:ascii="宋体" w:hAnsi="宋体" w:cs="宋体"/>
          <w:b/>
          <w:kern w:val="0"/>
          <w:sz w:val="24"/>
        </w:rPr>
        <w:t>十八、合同保险条款的制定及注意事项</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保险基本原理</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海运货物保险条款</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陆运／空运／邮包／国际联运货物保险条款</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保险条款</w:t>
      </w:r>
    </w:p>
    <w:p>
      <w:pPr>
        <w:widowControl/>
        <w:shd w:val="clear" w:color="auto" w:fill="FFFFFF"/>
        <w:adjustRightInd w:val="0"/>
        <w:snapToGrid w:val="0"/>
        <w:ind w:firstLine="482" w:firstLineChars="200"/>
        <w:jc w:val="left"/>
        <w:rPr>
          <w:rFonts w:hint="eastAsia" w:ascii="宋体" w:hAnsi="宋体" w:cs="宋体"/>
          <w:b/>
          <w:kern w:val="0"/>
          <w:sz w:val="24"/>
        </w:rPr>
      </w:pPr>
      <w:r>
        <w:rPr>
          <w:rFonts w:hint="eastAsia" w:ascii="宋体" w:hAnsi="宋体" w:cs="宋体"/>
          <w:b/>
          <w:kern w:val="0"/>
          <w:sz w:val="24"/>
        </w:rPr>
        <w:t>十九、合同价格条款的制定及相关计算技术</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价格条款的制定</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主要贸易术语的价格换算</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佣金与折扣</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进出口报价的货币折算</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出口成本核算</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出口报价核算</w:t>
      </w:r>
    </w:p>
    <w:p>
      <w:pPr>
        <w:widowControl/>
        <w:shd w:val="clear" w:color="auto" w:fill="FFFFFF"/>
        <w:adjustRightInd w:val="0"/>
        <w:snapToGrid w:val="0"/>
        <w:ind w:firstLine="482" w:firstLineChars="200"/>
        <w:jc w:val="left"/>
        <w:rPr>
          <w:rFonts w:hint="eastAsia" w:ascii="宋体" w:hAnsi="宋体" w:cs="宋体"/>
          <w:b/>
          <w:kern w:val="0"/>
          <w:sz w:val="24"/>
        </w:rPr>
      </w:pPr>
      <w:r>
        <w:rPr>
          <w:rFonts w:hint="eastAsia" w:ascii="宋体" w:hAnsi="宋体" w:cs="宋体"/>
          <w:b/>
          <w:kern w:val="0"/>
          <w:sz w:val="24"/>
        </w:rPr>
        <w:t>二十、合同支付条款的制定及注意事项</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支付工具：汇票／本票／支票</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支付方式一：汇付</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支付方式二：托收</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支付方式三：L／C</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支付方式四：保理与福费廷</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银行保函与备用信用证</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支付条款</w:t>
      </w:r>
    </w:p>
    <w:p>
      <w:pPr>
        <w:widowControl/>
        <w:shd w:val="clear" w:color="auto" w:fill="FFFFFF"/>
        <w:adjustRightInd w:val="0"/>
        <w:snapToGrid w:val="0"/>
        <w:ind w:firstLine="482" w:firstLineChars="200"/>
        <w:jc w:val="left"/>
        <w:rPr>
          <w:rFonts w:hint="eastAsia" w:ascii="宋体" w:hAnsi="宋体" w:cs="宋体"/>
          <w:b/>
          <w:kern w:val="0"/>
          <w:sz w:val="24"/>
        </w:rPr>
      </w:pPr>
      <w:r>
        <w:rPr>
          <w:rFonts w:hint="eastAsia" w:ascii="宋体" w:hAnsi="宋体" w:cs="宋体"/>
          <w:b/>
          <w:kern w:val="0"/>
          <w:sz w:val="24"/>
        </w:rPr>
        <w:t>二十一、合同争议预防条款的制定及注意事项</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检验条款</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索赔条款</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不可抗力条款</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仲裁条款</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法律适用条款</w:t>
      </w:r>
    </w:p>
    <w:p>
      <w:pPr>
        <w:widowControl/>
        <w:shd w:val="clear" w:color="auto" w:fill="FFFFFF"/>
        <w:adjustRightInd w:val="0"/>
        <w:snapToGrid w:val="0"/>
        <w:ind w:firstLine="482" w:firstLineChars="200"/>
        <w:jc w:val="left"/>
        <w:rPr>
          <w:rFonts w:hint="eastAsia" w:ascii="宋体" w:hAnsi="宋体" w:cs="宋体"/>
          <w:b/>
          <w:kern w:val="0"/>
          <w:sz w:val="24"/>
        </w:rPr>
      </w:pPr>
      <w:r>
        <w:rPr>
          <w:rFonts w:hint="eastAsia" w:ascii="宋体" w:hAnsi="宋体" w:cs="宋体"/>
          <w:b/>
          <w:kern w:val="0"/>
          <w:sz w:val="24"/>
        </w:rPr>
        <w:t>二十二、合同成立/中止/变更/终止的法律问题</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合同磋商</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合同成立与效力</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合同中止、变更和终止</w:t>
      </w:r>
    </w:p>
    <w:p>
      <w:pPr>
        <w:widowControl/>
        <w:shd w:val="clear" w:color="auto" w:fill="FFFFFF"/>
        <w:adjustRightInd w:val="0"/>
        <w:snapToGrid w:val="0"/>
        <w:ind w:firstLine="482" w:firstLineChars="200"/>
        <w:jc w:val="left"/>
        <w:rPr>
          <w:rFonts w:hint="eastAsia" w:ascii="宋体" w:hAnsi="宋体" w:cs="宋体"/>
          <w:b/>
          <w:kern w:val="0"/>
          <w:sz w:val="24"/>
        </w:rPr>
      </w:pPr>
      <w:r>
        <w:rPr>
          <w:rFonts w:hint="eastAsia" w:ascii="宋体" w:hAnsi="宋体" w:cs="宋体"/>
          <w:b/>
          <w:kern w:val="0"/>
          <w:sz w:val="24"/>
        </w:rPr>
        <w:t>二十三、合同履行及违约救济的法律问题</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合同当事人卖方的义务</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合同当事人买方的义务</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主要进出口结付汇单据</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货物所有权与风险的转移</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违约救济</w:t>
      </w:r>
    </w:p>
    <w:p>
      <w:pPr>
        <w:widowControl/>
        <w:shd w:val="clear" w:color="auto" w:fill="FFFFFF"/>
        <w:adjustRightInd w:val="0"/>
        <w:snapToGrid w:val="0"/>
        <w:ind w:firstLine="482" w:firstLineChars="200"/>
        <w:jc w:val="left"/>
        <w:rPr>
          <w:rFonts w:hint="eastAsia" w:ascii="宋体" w:hAnsi="宋体" w:cs="宋体"/>
          <w:b/>
          <w:kern w:val="0"/>
          <w:sz w:val="24"/>
        </w:rPr>
      </w:pPr>
      <w:r>
        <w:rPr>
          <w:rFonts w:hint="eastAsia" w:ascii="宋体" w:hAnsi="宋体" w:cs="宋体"/>
          <w:b/>
          <w:kern w:val="0"/>
          <w:sz w:val="24"/>
        </w:rPr>
        <w:t>二十四、特殊贸易方式及贸易方式的电子化</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中介交易方式</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多边交易方式</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对销贸易方式</w:t>
      </w:r>
    </w:p>
    <w:p>
      <w:pPr>
        <w:widowControl/>
        <w:shd w:val="clear" w:color="auto" w:fill="FFFFFF"/>
        <w:adjustRightInd w:val="0"/>
        <w:snapToGrid w:val="0"/>
        <w:ind w:firstLine="480" w:firstLineChars="200"/>
        <w:jc w:val="left"/>
        <w:rPr>
          <w:rFonts w:hint="eastAsia"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加工贸易方式</w:t>
      </w:r>
    </w:p>
    <w:p>
      <w:pPr>
        <w:widowControl/>
        <w:shd w:val="clear" w:color="auto" w:fill="FFFFFF"/>
        <w:adjustRightInd w:val="0"/>
        <w:snapToGrid w:val="0"/>
        <w:ind w:firstLine="480" w:firstLineChars="200"/>
        <w:jc w:val="left"/>
        <w:rPr>
          <w:rFonts w:ascii="宋体" w:hAnsi="宋体" w:cs="宋体"/>
          <w:kern w:val="0"/>
          <w:sz w:val="24"/>
        </w:rPr>
      </w:pPr>
      <w:r>
        <w:rPr>
          <w:rFonts w:hint="eastAsia" w:ascii="宋体" w:hAnsi="宋体" w:cs="宋体"/>
          <w:color w:val="000000"/>
          <w:kern w:val="0"/>
          <w:sz w:val="24"/>
          <w:szCs w:val="20"/>
        </w:rPr>
        <w:t xml:space="preserve">● </w:t>
      </w:r>
      <w:r>
        <w:rPr>
          <w:rFonts w:hint="eastAsia" w:ascii="宋体" w:hAnsi="宋体" w:cs="宋体"/>
          <w:kern w:val="0"/>
          <w:sz w:val="24"/>
        </w:rPr>
        <w:t>贸易方式的电子化</w:t>
      </w:r>
    </w:p>
    <w:p>
      <w:pPr>
        <w:widowControl/>
        <w:shd w:val="clear" w:color="auto" w:fill="FFFFFF"/>
        <w:adjustRightInd w:val="0"/>
        <w:snapToGrid w:val="0"/>
        <w:ind w:firstLine="480" w:firstLineChars="200"/>
        <w:jc w:val="left"/>
        <w:rPr>
          <w:rFonts w:ascii="宋体" w:hAnsi="宋体" w:cs="宋体"/>
          <w:kern w:val="0"/>
          <w:sz w:val="24"/>
        </w:rPr>
      </w:pPr>
    </w:p>
    <w:p>
      <w:pPr>
        <w:widowControl/>
        <w:shd w:val="clear" w:color="auto" w:fill="FFFFFF"/>
        <w:adjustRightInd w:val="0"/>
        <w:snapToGrid w:val="0"/>
        <w:ind w:firstLine="480" w:firstLineChars="200"/>
        <w:jc w:val="left"/>
        <w:rPr>
          <w:rFonts w:ascii="宋体" w:hAnsi="宋体" w:cs="宋体"/>
          <w:kern w:val="0"/>
          <w:sz w:val="24"/>
        </w:rPr>
      </w:pPr>
    </w:p>
    <w:p>
      <w:pPr>
        <w:widowControl/>
        <w:shd w:val="clear" w:color="auto" w:fill="FFFFFF"/>
        <w:adjustRightInd w:val="0"/>
        <w:snapToGrid w:val="0"/>
        <w:ind w:firstLine="480" w:firstLineChars="200"/>
        <w:jc w:val="left"/>
        <w:rPr>
          <w:rFonts w:ascii="宋体" w:hAnsi="宋体" w:cs="宋体"/>
          <w:kern w:val="0"/>
          <w:sz w:val="24"/>
        </w:rPr>
      </w:pPr>
    </w:p>
    <w:p>
      <w:pPr>
        <w:widowControl/>
        <w:shd w:val="clear" w:color="auto" w:fill="FFFFFF"/>
        <w:adjustRightInd w:val="0"/>
        <w:snapToGrid w:val="0"/>
        <w:ind w:firstLine="480" w:firstLineChars="200"/>
        <w:jc w:val="left"/>
        <w:rPr>
          <w:rFonts w:ascii="宋体" w:hAnsi="宋体" w:cs="宋体"/>
          <w:kern w:val="0"/>
          <w:sz w:val="24"/>
        </w:rPr>
      </w:pPr>
    </w:p>
    <w:p>
      <w:pPr>
        <w:widowControl/>
        <w:shd w:val="clear" w:color="auto" w:fill="FFFFFF"/>
        <w:adjustRightInd w:val="0"/>
        <w:snapToGrid w:val="0"/>
        <w:ind w:firstLine="723" w:firstLineChars="200"/>
        <w:jc w:val="left"/>
        <w:rPr>
          <w:rFonts w:ascii="黑体" w:hAnsi="黑体" w:eastAsia="黑体" w:cs="黑体"/>
          <w:b/>
          <w:color w:val="000000"/>
          <w:sz w:val="36"/>
          <w:szCs w:val="36"/>
        </w:rPr>
      </w:pPr>
      <w:r>
        <w:rPr>
          <w:rFonts w:ascii="黑体" w:hAnsi="黑体" w:eastAsia="黑体" w:cs="黑体"/>
          <w:b/>
          <w:color w:val="000000"/>
          <w:sz w:val="36"/>
          <w:szCs w:val="36"/>
        </w:rPr>
        <w:drawing>
          <wp:inline distT="0" distB="0" distL="114300" distR="114300">
            <wp:extent cx="1875155" cy="722630"/>
            <wp:effectExtent l="0" t="0" r="14605" b="8890"/>
            <wp:docPr id="1" name="图片 1" descr="704503e7005437ace28e66fa4a818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04503e7005437ace28e66fa4a8185c"/>
                    <pic:cNvPicPr>
                      <a:picLocks noChangeAspect="1"/>
                    </pic:cNvPicPr>
                  </pic:nvPicPr>
                  <pic:blipFill>
                    <a:blip r:embed="rId5"/>
                    <a:stretch>
                      <a:fillRect/>
                    </a:stretch>
                  </pic:blipFill>
                  <pic:spPr>
                    <a:xfrm>
                      <a:off x="0" y="0"/>
                      <a:ext cx="1875155" cy="722630"/>
                    </a:xfrm>
                    <a:prstGeom prst="rect">
                      <a:avLst/>
                    </a:prstGeom>
                    <a:noFill/>
                    <a:ln>
                      <a:noFill/>
                    </a:ln>
                  </pic:spPr>
                </pic:pic>
              </a:graphicData>
            </a:graphic>
          </wp:inline>
        </w:drawing>
      </w:r>
    </w:p>
    <w:p>
      <w:pPr>
        <w:widowControl/>
        <w:shd w:val="clear" w:color="auto" w:fill="FFFFFF"/>
        <w:adjustRightInd w:val="0"/>
        <w:snapToGrid w:val="0"/>
        <w:ind w:firstLine="723" w:firstLineChars="200"/>
        <w:jc w:val="left"/>
        <w:rPr>
          <w:rFonts w:hint="eastAsia" w:ascii="宋体" w:hAnsi="宋体" w:cs="宋体"/>
          <w:kern w:val="0"/>
          <w:sz w:val="24"/>
        </w:rPr>
      </w:pPr>
      <w:r>
        <w:rPr>
          <w:rFonts w:hint="eastAsia" w:ascii="黑体" w:hAnsi="黑体" w:eastAsia="黑体" w:cs="黑体"/>
          <w:b/>
          <w:color w:val="000000"/>
          <w:sz w:val="36"/>
          <w:szCs w:val="36"/>
        </w:rPr>
        <w:t xml:space="preserve"> </w:t>
      </w:r>
      <w:r>
        <w:rPr>
          <w:rFonts w:ascii="黑体" w:hAnsi="黑体" w:eastAsia="黑体" w:cs="黑体"/>
          <w:b/>
          <w:color w:val="000000"/>
          <w:sz w:val="36"/>
          <w:szCs w:val="36"/>
        </w:rPr>
        <w:t xml:space="preserve">                      2023</w:t>
      </w:r>
      <w:r>
        <w:rPr>
          <w:rFonts w:hint="eastAsia" w:ascii="黑体" w:hAnsi="黑体" w:eastAsia="黑体" w:cs="黑体"/>
          <w:b/>
          <w:color w:val="000000"/>
          <w:sz w:val="36"/>
          <w:szCs w:val="36"/>
        </w:rPr>
        <w:t>年</w:t>
      </w:r>
      <w:r>
        <w:rPr>
          <w:rFonts w:ascii="黑体" w:hAnsi="黑体" w:eastAsia="黑体" w:cs="黑体"/>
          <w:b/>
          <w:color w:val="000000"/>
          <w:sz w:val="36"/>
          <w:szCs w:val="36"/>
        </w:rPr>
        <w:t>6</w:t>
      </w:r>
      <w:r>
        <w:rPr>
          <w:rFonts w:hint="eastAsia" w:ascii="黑体" w:hAnsi="黑体" w:eastAsia="黑体" w:cs="黑体"/>
          <w:b/>
          <w:color w:val="000000"/>
          <w:sz w:val="36"/>
          <w:szCs w:val="36"/>
        </w:rPr>
        <w:t>月5日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F67E5"/>
    <w:multiLevelType w:val="multilevel"/>
    <w:tmpl w:val="117F67E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3594DB9"/>
    <w:multiLevelType w:val="multilevel"/>
    <w:tmpl w:val="23594DB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MDNhZjFmOTYxYTk2YzAzNTk5NDJiOTdmZTc5MTYifQ=="/>
  </w:docVars>
  <w:rsids>
    <w:rsidRoot w:val="002C0024"/>
    <w:rsid w:val="0000671A"/>
    <w:rsid w:val="000126AD"/>
    <w:rsid w:val="000253DF"/>
    <w:rsid w:val="000517B2"/>
    <w:rsid w:val="00056761"/>
    <w:rsid w:val="000625F2"/>
    <w:rsid w:val="00072864"/>
    <w:rsid w:val="000863BF"/>
    <w:rsid w:val="000902B7"/>
    <w:rsid w:val="000B6337"/>
    <w:rsid w:val="000E1F7D"/>
    <w:rsid w:val="00135951"/>
    <w:rsid w:val="001516BA"/>
    <w:rsid w:val="00165D75"/>
    <w:rsid w:val="001D5EF0"/>
    <w:rsid w:val="001F3427"/>
    <w:rsid w:val="002108E4"/>
    <w:rsid w:val="0022366D"/>
    <w:rsid w:val="002569F9"/>
    <w:rsid w:val="0027088D"/>
    <w:rsid w:val="002B4C55"/>
    <w:rsid w:val="002C0024"/>
    <w:rsid w:val="002D073F"/>
    <w:rsid w:val="002D598E"/>
    <w:rsid w:val="002E496C"/>
    <w:rsid w:val="002F3FF9"/>
    <w:rsid w:val="00303B47"/>
    <w:rsid w:val="00335D97"/>
    <w:rsid w:val="00351C33"/>
    <w:rsid w:val="00371DEF"/>
    <w:rsid w:val="003A5FCC"/>
    <w:rsid w:val="003B0AE9"/>
    <w:rsid w:val="003E6D1A"/>
    <w:rsid w:val="00410B4B"/>
    <w:rsid w:val="00436BB0"/>
    <w:rsid w:val="00447DDF"/>
    <w:rsid w:val="00454CEA"/>
    <w:rsid w:val="00461574"/>
    <w:rsid w:val="004A4156"/>
    <w:rsid w:val="004C75AE"/>
    <w:rsid w:val="004E7686"/>
    <w:rsid w:val="004F5190"/>
    <w:rsid w:val="0050035D"/>
    <w:rsid w:val="00513DA8"/>
    <w:rsid w:val="00573F41"/>
    <w:rsid w:val="005B1417"/>
    <w:rsid w:val="00610C12"/>
    <w:rsid w:val="00633EC0"/>
    <w:rsid w:val="00646512"/>
    <w:rsid w:val="006C629C"/>
    <w:rsid w:val="006D461B"/>
    <w:rsid w:val="00703919"/>
    <w:rsid w:val="0071020B"/>
    <w:rsid w:val="00712151"/>
    <w:rsid w:val="00714DCB"/>
    <w:rsid w:val="00730D1C"/>
    <w:rsid w:val="0073335F"/>
    <w:rsid w:val="0073685B"/>
    <w:rsid w:val="0075293A"/>
    <w:rsid w:val="00755994"/>
    <w:rsid w:val="007662CD"/>
    <w:rsid w:val="0077721B"/>
    <w:rsid w:val="00787AC3"/>
    <w:rsid w:val="00794D8A"/>
    <w:rsid w:val="007C39BA"/>
    <w:rsid w:val="007C4623"/>
    <w:rsid w:val="007D3D06"/>
    <w:rsid w:val="007E5642"/>
    <w:rsid w:val="007F3F0A"/>
    <w:rsid w:val="007F6A35"/>
    <w:rsid w:val="00806968"/>
    <w:rsid w:val="00841731"/>
    <w:rsid w:val="00843873"/>
    <w:rsid w:val="00851203"/>
    <w:rsid w:val="00886302"/>
    <w:rsid w:val="00894927"/>
    <w:rsid w:val="008A5554"/>
    <w:rsid w:val="008A5CA7"/>
    <w:rsid w:val="008C0A08"/>
    <w:rsid w:val="008C10A0"/>
    <w:rsid w:val="008D33ED"/>
    <w:rsid w:val="008F33E8"/>
    <w:rsid w:val="00906A46"/>
    <w:rsid w:val="009416F6"/>
    <w:rsid w:val="00947591"/>
    <w:rsid w:val="0095343F"/>
    <w:rsid w:val="009648C4"/>
    <w:rsid w:val="0097797A"/>
    <w:rsid w:val="00990231"/>
    <w:rsid w:val="009C6CF9"/>
    <w:rsid w:val="009F137F"/>
    <w:rsid w:val="009F3ECB"/>
    <w:rsid w:val="00A011B8"/>
    <w:rsid w:val="00A02B48"/>
    <w:rsid w:val="00A505E3"/>
    <w:rsid w:val="00A676D5"/>
    <w:rsid w:val="00A738B1"/>
    <w:rsid w:val="00AA0B81"/>
    <w:rsid w:val="00AC02F3"/>
    <w:rsid w:val="00AC6E34"/>
    <w:rsid w:val="00AE38A3"/>
    <w:rsid w:val="00B37B10"/>
    <w:rsid w:val="00B448E0"/>
    <w:rsid w:val="00B53187"/>
    <w:rsid w:val="00B70F27"/>
    <w:rsid w:val="00BC65CE"/>
    <w:rsid w:val="00C072EB"/>
    <w:rsid w:val="00C41102"/>
    <w:rsid w:val="00C47421"/>
    <w:rsid w:val="00C524C2"/>
    <w:rsid w:val="00C569D3"/>
    <w:rsid w:val="00C745FA"/>
    <w:rsid w:val="00C926E6"/>
    <w:rsid w:val="00CC38EB"/>
    <w:rsid w:val="00CD2BC8"/>
    <w:rsid w:val="00D01D59"/>
    <w:rsid w:val="00D10660"/>
    <w:rsid w:val="00D23FAB"/>
    <w:rsid w:val="00D32736"/>
    <w:rsid w:val="00D5577B"/>
    <w:rsid w:val="00D6373E"/>
    <w:rsid w:val="00D808CD"/>
    <w:rsid w:val="00D82F10"/>
    <w:rsid w:val="00DA1727"/>
    <w:rsid w:val="00DA2FA4"/>
    <w:rsid w:val="00E061B3"/>
    <w:rsid w:val="00E172F3"/>
    <w:rsid w:val="00E76E87"/>
    <w:rsid w:val="00E97A03"/>
    <w:rsid w:val="00ED3128"/>
    <w:rsid w:val="00F039CA"/>
    <w:rsid w:val="00F15EEA"/>
    <w:rsid w:val="00F3318D"/>
    <w:rsid w:val="00F67067"/>
    <w:rsid w:val="00F915BD"/>
    <w:rsid w:val="00F96E69"/>
    <w:rsid w:val="00FB37FC"/>
    <w:rsid w:val="039B16BF"/>
    <w:rsid w:val="06A26D51"/>
    <w:rsid w:val="14611731"/>
    <w:rsid w:val="186B67C9"/>
    <w:rsid w:val="1B16787A"/>
    <w:rsid w:val="1B774A00"/>
    <w:rsid w:val="245E26D3"/>
    <w:rsid w:val="26D8736F"/>
    <w:rsid w:val="326054A2"/>
    <w:rsid w:val="3EE707A1"/>
    <w:rsid w:val="420A229E"/>
    <w:rsid w:val="4A2920A1"/>
    <w:rsid w:val="5325673F"/>
    <w:rsid w:val="781008BC"/>
    <w:rsid w:val="79863D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annotation text"/>
    <w:basedOn w:val="1"/>
    <w:link w:val="13"/>
    <w:uiPriority w:val="0"/>
    <w:pPr>
      <w:jc w:val="left"/>
    </w:pPr>
  </w:style>
  <w:style w:type="paragraph" w:styleId="3">
    <w:name w:val="Body Text Indent"/>
    <w:basedOn w:val="1"/>
    <w:uiPriority w:val="0"/>
    <w:pPr>
      <w:widowControl/>
      <w:spacing w:before="100" w:beforeAutospacing="1" w:after="100" w:afterAutospacing="1"/>
      <w:jc w:val="left"/>
    </w:pPr>
    <w:rPr>
      <w:rFonts w:ascii="宋体" w:hAnsi="宋体" w:cs="宋体"/>
      <w:kern w:val="0"/>
      <w:sz w:val="24"/>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uiPriority w:val="0"/>
    <w:rPr>
      <w:b/>
      <w:bCs/>
    </w:rPr>
  </w:style>
  <w:style w:type="character" w:styleId="10">
    <w:name w:val="Strong"/>
    <w:qFormat/>
    <w:uiPriority w:val="0"/>
    <w:rPr>
      <w:b/>
      <w:bCs/>
    </w:rPr>
  </w:style>
  <w:style w:type="character" w:styleId="11">
    <w:name w:val="Emphasis"/>
    <w:qFormat/>
    <w:uiPriority w:val="20"/>
    <w:rPr>
      <w:i/>
      <w:iCs/>
    </w:rPr>
  </w:style>
  <w:style w:type="character" w:styleId="12">
    <w:name w:val="annotation reference"/>
    <w:uiPriority w:val="0"/>
    <w:rPr>
      <w:sz w:val="21"/>
      <w:szCs w:val="21"/>
    </w:rPr>
  </w:style>
  <w:style w:type="character" w:customStyle="1" w:styleId="13">
    <w:name w:val="批注文字 字符"/>
    <w:link w:val="2"/>
    <w:uiPriority w:val="0"/>
    <w:rPr>
      <w:kern w:val="2"/>
      <w:sz w:val="21"/>
      <w:szCs w:val="24"/>
    </w:rPr>
  </w:style>
  <w:style w:type="character" w:customStyle="1" w:styleId="14">
    <w:name w:val="批注主题 字符"/>
    <w:link w:val="7"/>
    <w:uiPriority w:val="0"/>
    <w:rPr>
      <w:b/>
      <w:bCs/>
      <w:kern w:val="2"/>
      <w:sz w:val="21"/>
      <w:szCs w:val="24"/>
    </w:rPr>
  </w:style>
  <w:style w:type="paragraph" w:customStyle="1" w:styleId="15">
    <w:name w:val="大纲正文"/>
    <w:basedOn w:val="1"/>
    <w:uiPriority w:val="0"/>
    <w:pPr>
      <w:spacing w:line="360" w:lineRule="auto"/>
      <w:ind w:firstLine="540" w:firstLineChars="225"/>
    </w:pPr>
    <w:rPr>
      <w:rFonts w:ascii="宋体" w:hAnsi="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752</Words>
  <Characters>4293</Characters>
  <Lines>35</Lines>
  <Paragraphs>10</Paragraphs>
  <TotalTime>0</TotalTime>
  <ScaleCrop>false</ScaleCrop>
  <LinksUpToDate>false</LinksUpToDate>
  <CharactersWithSpaces>5035</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2016-06-08T07:21:00Z</dcterms:created>
  <dc:creator>Lenovo User</dc:creator>
  <cp:lastModifiedBy>~ing</cp:lastModifiedBy>
  <cp:lastPrinted>2018-05-23T03:34:00Z</cp:lastPrinted>
  <dcterms:modified xsi:type="dcterms:W3CDTF">2023-09-18T02:50:52Z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E1C0A0D4BAC8401CA75BBB04E5D840E4_13</vt:lpwstr>
  </property>
</Properties>
</file>