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color w:val="000000"/>
          <w:sz w:val="36"/>
          <w:szCs w:val="36"/>
        </w:rPr>
      </w:pPr>
      <w:r>
        <w:rPr>
          <w:rFonts w:hint="eastAsia" w:ascii="黑体" w:hAnsi="黑体" w:eastAsia="黑体" w:cs="黑体"/>
          <w:color w:val="000000"/>
          <w:sz w:val="36"/>
          <w:szCs w:val="36"/>
        </w:rPr>
        <w:t>产业经济学</w:t>
      </w:r>
      <w:bookmarkStart w:id="0" w:name="_GoBack"/>
      <w:r>
        <w:rPr>
          <w:rFonts w:hint="eastAsia" w:ascii="黑体" w:hAnsi="黑体" w:eastAsia="黑体" w:cs="黑体"/>
          <w:color w:val="000000"/>
          <w:sz w:val="36"/>
          <w:szCs w:val="36"/>
        </w:rPr>
        <w:t>020205</w:t>
      </w:r>
      <w:bookmarkEnd w:id="0"/>
    </w:p>
    <w:p>
      <w:pPr>
        <w:adjustRightInd w:val="0"/>
        <w:snapToGrid w:val="0"/>
        <w:jc w:val="center"/>
        <w:rPr>
          <w:rFonts w:hint="eastAsia" w:ascii="黑体" w:hAnsi="黑体" w:eastAsia="黑体" w:cs="黑体"/>
          <w:color w:val="000000"/>
          <w:sz w:val="36"/>
          <w:szCs w:val="36"/>
        </w:rPr>
      </w:pPr>
    </w:p>
    <w:p>
      <w:pPr>
        <w:widowControl/>
        <w:snapToGrid w:val="0"/>
        <w:jc w:val="left"/>
        <w:rPr>
          <w:rFonts w:hint="eastAsia" w:ascii="宋体" w:hAnsi="宋体" w:cs="宋体"/>
          <w:kern w:val="0"/>
          <w:sz w:val="24"/>
        </w:rPr>
      </w:pPr>
      <w:r>
        <w:rPr>
          <w:rFonts w:hint="eastAsia" w:ascii="宋体" w:hAnsi="宋体" w:cs="宋体"/>
          <w:b/>
          <w:sz w:val="24"/>
        </w:rPr>
        <w:t>学科点简介：</w:t>
      </w:r>
      <w:r>
        <w:rPr>
          <w:rFonts w:hint="eastAsia" w:ascii="宋体" w:hAnsi="宋体" w:cs="宋体"/>
          <w:sz w:val="24"/>
        </w:rPr>
        <w:t>产业经济学硕士点目前有12位研究生导师，其中教授7人，副教授3人，全部具有博士学位。</w:t>
      </w:r>
      <w:r>
        <w:rPr>
          <w:rFonts w:hint="eastAsia" w:ascii="宋体" w:hAnsi="宋体" w:cs="宋体"/>
          <w:kern w:val="0"/>
          <w:sz w:val="24"/>
        </w:rPr>
        <w:t>本学科点近年来共主持省部级以上科研项目15项，其中国家社会科学基金项目4项，教育部人文社科项目3项，省级项目8项。此外，主持广州市社会科学基金项目、省教育厅项目、佛山市社会科学基金等项目近20项，其中，重大课题和重点项目6项，研究经费130余万元。近3年来，出版与本学科相关学术专著8部，公开发表学术论文近百篇，其中权威期刊10余篇。 </w:t>
      </w:r>
    </w:p>
    <w:p>
      <w:pPr>
        <w:widowControl/>
        <w:snapToGrid w:val="0"/>
        <w:rPr>
          <w:rFonts w:hint="eastAsia" w:ascii="宋体" w:hAnsi="宋体" w:cs="宋体"/>
          <w:b/>
          <w:sz w:val="24"/>
        </w:rPr>
      </w:pPr>
    </w:p>
    <w:p>
      <w:pPr>
        <w:widowControl/>
        <w:snapToGrid w:val="0"/>
        <w:rPr>
          <w:rFonts w:hint="eastAsia" w:ascii="宋体" w:hAnsi="宋体" w:cs="宋体"/>
          <w:kern w:val="0"/>
          <w:sz w:val="24"/>
        </w:rPr>
      </w:pPr>
      <w:r>
        <w:rPr>
          <w:rFonts w:hint="eastAsia" w:ascii="宋体" w:hAnsi="宋体" w:cs="宋体"/>
          <w:b/>
          <w:sz w:val="24"/>
        </w:rPr>
        <w:t>培养目标：</w:t>
      </w:r>
      <w:r>
        <w:rPr>
          <w:rFonts w:hint="eastAsia" w:ascii="宋体" w:hAnsi="宋体" w:cs="宋体"/>
          <w:kern w:val="0"/>
          <w:sz w:val="24"/>
        </w:rPr>
        <w:t>坚持立德树人，培养德、智、体、美、劳全面发展，具有坚定正确的政治方向和社会主义核心价值观，遵纪守法、品德良好、身心健康，具备扎实的经济学理论知识，顺应数字经济和智能经济发展趋势，对产业经济学理论前沿问题和现代产业体系有深入分析和思考，能较好服务粤港澳大湾区和全国经济社会发展，掌握现代经济学研究方法和分析工具，具有国际视野和较强国际交流能力，可从事教学科研以及综合经济管理部门、金融机构、工商企业的经济分析与管理工作的高层次专门人才。</w:t>
      </w:r>
    </w:p>
    <w:p>
      <w:pPr>
        <w:widowControl/>
        <w:snapToGrid w:val="0"/>
        <w:jc w:val="left"/>
        <w:rPr>
          <w:rFonts w:hint="eastAsia" w:ascii="宋体" w:hAnsi="宋体" w:cs="宋体"/>
          <w:kern w:val="0"/>
          <w:sz w:val="24"/>
        </w:rPr>
      </w:pPr>
      <w:r>
        <w:rPr>
          <w:rFonts w:hint="eastAsia" w:ascii="宋体" w:hAnsi="宋体" w:cs="宋体"/>
          <w:kern w:val="0"/>
          <w:sz w:val="24"/>
        </w:rPr>
        <w:t> </w:t>
      </w:r>
    </w:p>
    <w:p>
      <w:pPr>
        <w:widowControl/>
        <w:snapToGrid w:val="0"/>
        <w:rPr>
          <w:rFonts w:hint="eastAsia" w:ascii="宋体" w:hAnsi="宋体" w:cs="宋体"/>
          <w:kern w:val="0"/>
          <w:sz w:val="24"/>
        </w:rPr>
      </w:pPr>
      <w:r>
        <w:rPr>
          <w:rFonts w:hint="eastAsia" w:ascii="宋体" w:hAnsi="宋体" w:cs="宋体"/>
          <w:b/>
          <w:sz w:val="24"/>
        </w:rPr>
        <w:t>课程设置：</w:t>
      </w:r>
      <w:r>
        <w:rPr>
          <w:rFonts w:hint="eastAsia" w:ascii="宋体" w:hAnsi="宋体" w:cs="宋体"/>
          <w:kern w:val="0"/>
          <w:sz w:val="24"/>
        </w:rPr>
        <w:t>中级微观经济学、中级宏观经济学、计量经济学、产业经济学、产业组织理论、企业理论与公司治理、制度经济学、规制经济学、中国产业发展与政策、产业经济学前沿问题研究等。</w:t>
      </w:r>
    </w:p>
    <w:p>
      <w:pPr>
        <w:widowControl/>
        <w:snapToGrid w:val="0"/>
        <w:rPr>
          <w:rFonts w:hint="eastAsia" w:ascii="宋体" w:hAnsi="宋体" w:cs="宋体"/>
          <w:kern w:val="0"/>
          <w:sz w:val="24"/>
        </w:rPr>
      </w:pPr>
    </w:p>
    <w:p>
      <w:pPr>
        <w:widowControl/>
        <w:snapToGrid w:val="0"/>
        <w:rPr>
          <w:rFonts w:hint="eastAsia" w:ascii="宋体" w:hAnsi="宋体" w:cs="宋体"/>
          <w:kern w:val="0"/>
          <w:sz w:val="24"/>
        </w:rPr>
      </w:pPr>
      <w:r>
        <w:rPr>
          <w:rFonts w:hint="eastAsia" w:ascii="宋体" w:hAnsi="宋体" w:cs="宋体"/>
          <w:b/>
          <w:sz w:val="24"/>
        </w:rPr>
        <w:t>就业方向：</w:t>
      </w:r>
      <w:r>
        <w:rPr>
          <w:rFonts w:hint="eastAsia" w:ascii="宋体" w:hAnsi="宋体" w:cs="宋体"/>
          <w:kern w:val="0"/>
          <w:sz w:val="24"/>
        </w:rPr>
        <w:t>从事政府管理部门行政管理工作、高等学校和科研院所教学与科研工作、银行和证券公司等大中型企业的管理工作。</w:t>
      </w:r>
    </w:p>
    <w:p>
      <w:pPr>
        <w:widowControl/>
        <w:snapToGrid w:val="0"/>
        <w:rPr>
          <w:rFonts w:hint="eastAsia" w:ascii="宋体" w:hAnsi="宋体" w:cs="宋体"/>
          <w:kern w:val="0"/>
          <w:sz w:val="24"/>
        </w:rPr>
      </w:pPr>
    </w:p>
    <w:p>
      <w:pPr>
        <w:widowControl/>
        <w:snapToGrid w:val="0"/>
        <w:ind w:firstLine="241" w:firstLineChars="100"/>
        <w:jc w:val="center"/>
        <w:rPr>
          <w:rFonts w:hint="eastAsia" w:ascii="宋体" w:hAnsi="宋体" w:cs="宋体"/>
          <w:b/>
          <w:sz w:val="24"/>
        </w:rPr>
      </w:pPr>
      <w:r>
        <w:rPr>
          <w:rFonts w:hint="eastAsia" w:ascii="宋体" w:hAnsi="宋体" w:cs="宋体"/>
          <w:b/>
          <w:sz w:val="24"/>
        </w:rPr>
        <w:t>专业代码：020205                      咨询电话：020-84261737</w:t>
      </w:r>
    </w:p>
    <w:tbl>
      <w:tblPr>
        <w:tblStyle w:val="5"/>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2"/>
        <w:gridCol w:w="2865"/>
        <w:gridCol w:w="2970"/>
        <w:gridCol w:w="1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519" w:hRule="atLeast"/>
          <w:jc w:val="center"/>
        </w:trPr>
        <w:tc>
          <w:tcPr>
            <w:tcW w:w="862" w:type="dxa"/>
            <w:noWrap w:val="0"/>
            <w:tcMar>
              <w:top w:w="0" w:type="dxa"/>
              <w:left w:w="108" w:type="dxa"/>
              <w:bottom w:w="0" w:type="dxa"/>
              <w:right w:w="108" w:type="dxa"/>
            </w:tcMar>
            <w:vAlign w:val="center"/>
          </w:tcPr>
          <w:p>
            <w:pPr>
              <w:jc w:val="center"/>
              <w:rPr>
                <w:rFonts w:hint="eastAsia" w:ascii="宋体" w:hAnsi="宋体" w:cs="宋体"/>
                <w:b/>
                <w:color w:val="000000"/>
                <w:sz w:val="24"/>
              </w:rPr>
            </w:pPr>
            <w:r>
              <w:rPr>
                <w:rFonts w:hint="eastAsia" w:ascii="宋体" w:hAnsi="宋体" w:cs="宋体"/>
                <w:b/>
                <w:color w:val="000000"/>
                <w:sz w:val="24"/>
              </w:rPr>
              <w:t>序号</w:t>
            </w:r>
          </w:p>
        </w:tc>
        <w:tc>
          <w:tcPr>
            <w:tcW w:w="2865" w:type="dxa"/>
            <w:noWrap w:val="0"/>
            <w:tcMar>
              <w:top w:w="0" w:type="dxa"/>
              <w:left w:w="108" w:type="dxa"/>
              <w:bottom w:w="0" w:type="dxa"/>
              <w:right w:w="108" w:type="dxa"/>
            </w:tcMar>
            <w:vAlign w:val="center"/>
          </w:tcPr>
          <w:p>
            <w:pPr>
              <w:jc w:val="center"/>
              <w:rPr>
                <w:rFonts w:hint="eastAsia" w:ascii="宋体" w:hAnsi="宋体" w:cs="宋体"/>
                <w:b/>
                <w:color w:val="000000"/>
                <w:sz w:val="24"/>
              </w:rPr>
            </w:pPr>
            <w:r>
              <w:rPr>
                <w:rFonts w:hint="eastAsia" w:ascii="宋体" w:hAnsi="宋体" w:cs="宋体"/>
                <w:b/>
                <w:color w:val="000000"/>
                <w:sz w:val="24"/>
              </w:rPr>
              <w:t>研究方向</w:t>
            </w:r>
          </w:p>
        </w:tc>
        <w:tc>
          <w:tcPr>
            <w:tcW w:w="2970" w:type="dxa"/>
            <w:noWrap w:val="0"/>
            <w:tcMar>
              <w:top w:w="0" w:type="dxa"/>
              <w:left w:w="108" w:type="dxa"/>
              <w:bottom w:w="0" w:type="dxa"/>
              <w:right w:w="108" w:type="dxa"/>
            </w:tcMar>
            <w:vAlign w:val="center"/>
          </w:tcPr>
          <w:p>
            <w:pPr>
              <w:jc w:val="center"/>
              <w:rPr>
                <w:rFonts w:hint="eastAsia" w:ascii="宋体" w:hAnsi="宋体" w:cs="宋体"/>
                <w:b/>
                <w:color w:val="000000"/>
                <w:sz w:val="24"/>
              </w:rPr>
            </w:pPr>
            <w:r>
              <w:rPr>
                <w:rFonts w:hint="eastAsia" w:ascii="宋体" w:hAnsi="宋体" w:cs="宋体"/>
                <w:b/>
                <w:color w:val="000000"/>
                <w:sz w:val="24"/>
              </w:rPr>
              <w:t>初试科目</w:t>
            </w:r>
          </w:p>
        </w:tc>
        <w:tc>
          <w:tcPr>
            <w:tcW w:w="1960" w:type="dxa"/>
            <w:noWrap w:val="0"/>
            <w:tcMar>
              <w:top w:w="0" w:type="dxa"/>
              <w:left w:w="108" w:type="dxa"/>
              <w:bottom w:w="0" w:type="dxa"/>
              <w:right w:w="108" w:type="dxa"/>
            </w:tcMar>
            <w:vAlign w:val="center"/>
          </w:tcPr>
          <w:p>
            <w:pPr>
              <w:jc w:val="center"/>
              <w:rPr>
                <w:rFonts w:hint="eastAsia" w:ascii="宋体" w:hAnsi="宋体" w:cs="宋体"/>
                <w:b/>
                <w:color w:val="000000"/>
                <w:sz w:val="24"/>
              </w:rPr>
            </w:pPr>
            <w:r>
              <w:rPr>
                <w:rFonts w:hint="eastAsia" w:ascii="宋体" w:hAnsi="宋体" w:cs="宋体"/>
                <w:b/>
                <w:color w:val="000000"/>
                <w:sz w:val="24"/>
              </w:rPr>
              <w:t>复试科目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06" w:hRule="atLeast"/>
          <w:jc w:val="center"/>
        </w:trPr>
        <w:tc>
          <w:tcPr>
            <w:tcW w:w="862"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2865"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企业理论与公司治理</w:t>
            </w:r>
          </w:p>
        </w:tc>
        <w:tc>
          <w:tcPr>
            <w:tcW w:w="2970" w:type="dxa"/>
            <w:vMerge w:val="restart"/>
            <w:noWrap w:val="0"/>
            <w:tcMar>
              <w:top w:w="0" w:type="dxa"/>
              <w:left w:w="108" w:type="dxa"/>
              <w:bottom w:w="0" w:type="dxa"/>
              <w:right w:w="108" w:type="dxa"/>
            </w:tcMar>
            <w:vAlign w:val="center"/>
          </w:tcPr>
          <w:p>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pPr>
              <w:rPr>
                <w:rFonts w:hint="eastAsia" w:ascii="宋体" w:hAnsi="宋体" w:cs="宋体"/>
                <w:color w:val="000000"/>
                <w:sz w:val="24"/>
              </w:rPr>
            </w:pPr>
            <w:r>
              <w:rPr>
                <w:rFonts w:hint="eastAsia" w:ascii="宋体" w:hAnsi="宋体" w:cs="宋体"/>
                <w:color w:val="000000"/>
                <w:sz w:val="24"/>
              </w:rPr>
              <w:t>（4）经济学基础（150分）</w:t>
            </w:r>
          </w:p>
        </w:tc>
        <w:tc>
          <w:tcPr>
            <w:tcW w:w="1960" w:type="dxa"/>
            <w:vMerge w:val="restart"/>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F506-产业经济学（100分）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9" w:hRule="atLeast"/>
          <w:jc w:val="center"/>
        </w:trPr>
        <w:tc>
          <w:tcPr>
            <w:tcW w:w="862"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2</w:t>
            </w:r>
          </w:p>
        </w:tc>
        <w:tc>
          <w:tcPr>
            <w:tcW w:w="2865"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产业组织与政府规制</w:t>
            </w:r>
          </w:p>
        </w:tc>
        <w:tc>
          <w:tcPr>
            <w:tcW w:w="2970" w:type="dxa"/>
            <w:vMerge w:val="continue"/>
            <w:noWrap w:val="0"/>
            <w:vAlign w:val="center"/>
          </w:tcPr>
          <w:p>
            <w:pPr>
              <w:widowControl/>
              <w:jc w:val="left"/>
              <w:rPr>
                <w:rFonts w:hint="eastAsia" w:ascii="宋体" w:hAnsi="宋体" w:cs="宋体"/>
                <w:color w:val="000000"/>
                <w:sz w:val="24"/>
              </w:rPr>
            </w:pPr>
          </w:p>
        </w:tc>
        <w:tc>
          <w:tcPr>
            <w:tcW w:w="1960" w:type="dxa"/>
            <w:vMerge w:val="continue"/>
            <w:noWrap w:val="0"/>
            <w:vAlign w:val="center"/>
          </w:tcPr>
          <w:p>
            <w:pPr>
              <w:widowControl/>
              <w:jc w:val="left"/>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54" w:hRule="atLeast"/>
          <w:jc w:val="center"/>
        </w:trPr>
        <w:tc>
          <w:tcPr>
            <w:tcW w:w="862"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2865"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产业发展和产业政策</w:t>
            </w:r>
          </w:p>
        </w:tc>
        <w:tc>
          <w:tcPr>
            <w:tcW w:w="2970" w:type="dxa"/>
            <w:vMerge w:val="continue"/>
            <w:noWrap w:val="0"/>
            <w:vAlign w:val="center"/>
          </w:tcPr>
          <w:p>
            <w:pPr>
              <w:widowControl/>
              <w:jc w:val="left"/>
              <w:rPr>
                <w:rFonts w:hint="eastAsia" w:ascii="宋体" w:hAnsi="宋体" w:cs="宋体"/>
                <w:color w:val="000000"/>
                <w:sz w:val="24"/>
              </w:rPr>
            </w:pPr>
          </w:p>
        </w:tc>
        <w:tc>
          <w:tcPr>
            <w:tcW w:w="1960" w:type="dxa"/>
            <w:vMerge w:val="continue"/>
            <w:noWrap w:val="0"/>
            <w:vAlign w:val="center"/>
          </w:tcPr>
          <w:p>
            <w:pPr>
              <w:widowControl/>
              <w:jc w:val="left"/>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54" w:hRule="atLeast"/>
          <w:jc w:val="center"/>
        </w:trPr>
        <w:tc>
          <w:tcPr>
            <w:tcW w:w="862"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2865" w:type="dxa"/>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宋体"/>
                <w:color w:val="000000"/>
                <w:sz w:val="24"/>
              </w:rPr>
              <w:t>产业数字化</w:t>
            </w:r>
          </w:p>
        </w:tc>
        <w:tc>
          <w:tcPr>
            <w:tcW w:w="2970" w:type="dxa"/>
            <w:vMerge w:val="continue"/>
            <w:noWrap w:val="0"/>
            <w:vAlign w:val="center"/>
          </w:tcPr>
          <w:p>
            <w:pPr>
              <w:widowControl/>
              <w:jc w:val="left"/>
              <w:rPr>
                <w:rFonts w:hint="eastAsia" w:ascii="宋体" w:hAnsi="宋体" w:cs="宋体"/>
                <w:color w:val="000000"/>
                <w:sz w:val="24"/>
              </w:rPr>
            </w:pPr>
          </w:p>
        </w:tc>
        <w:tc>
          <w:tcPr>
            <w:tcW w:w="1960" w:type="dxa"/>
            <w:vMerge w:val="continue"/>
            <w:noWrap w:val="0"/>
            <w:vAlign w:val="center"/>
          </w:tcPr>
          <w:p>
            <w:pPr>
              <w:widowControl/>
              <w:jc w:val="left"/>
              <w:rPr>
                <w:rFonts w:hint="eastAsia" w:ascii="宋体" w:hAnsi="宋体" w:cs="宋体"/>
                <w:color w:val="000000"/>
                <w:sz w:val="24"/>
              </w:rPr>
            </w:pPr>
          </w:p>
        </w:tc>
      </w:tr>
    </w:tbl>
    <w:p>
      <w:pPr>
        <w:adjustRightInd w:val="0"/>
        <w:snapToGrid w:val="0"/>
        <w:rPr>
          <w:rFonts w:hint="eastAsia" w:ascii="宋体" w:hAnsi="宋体" w:cs="宋体"/>
          <w:b/>
          <w:color w:val="FF0000"/>
          <w:sz w:val="24"/>
        </w:rPr>
      </w:pPr>
      <w:r>
        <w:rPr>
          <w:rFonts w:hint="eastAsia" w:ascii="宋体" w:hAnsi="宋体" w:cs="宋体"/>
          <w:b/>
          <w:color w:val="000000"/>
          <w:sz w:val="24"/>
        </w:rPr>
        <w:t>▲表示统考科目或联考科目，考试题型、考试大纲以教育部公布为准。其他为自命题科目。</w:t>
      </w:r>
    </w:p>
    <w:p>
      <w:pPr>
        <w:widowControl/>
        <w:snapToGrid w:val="0"/>
        <w:rPr>
          <w:rFonts w:hint="eastAsia" w:ascii="宋体" w:hAnsi="宋体" w:cs="宋体"/>
          <w:b/>
          <w:bCs/>
          <w:color w:val="FF00FF"/>
          <w:kern w:val="0"/>
          <w:sz w:val="24"/>
        </w:rPr>
      </w:pPr>
    </w:p>
    <w:p>
      <w:pPr>
        <w:snapToGrid w:val="0"/>
        <w:rPr>
          <w:rFonts w:hint="eastAsia" w:ascii="宋体" w:hAnsi="宋体" w:cs="宋体"/>
          <w:b/>
          <w:sz w:val="24"/>
        </w:rPr>
      </w:pPr>
      <w:r>
        <w:rPr>
          <w:rFonts w:hint="eastAsia" w:ascii="宋体" w:hAnsi="宋体" w:cs="宋体"/>
          <w:b/>
          <w:sz w:val="24"/>
        </w:rPr>
        <w:t>考试题型及相应分值：</w:t>
      </w:r>
    </w:p>
    <w:p>
      <w:pPr>
        <w:widowControl/>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pPr>
        <w:rPr>
          <w:rFonts w:hint="eastAsia" w:ascii="宋体" w:hAnsi="宋体" w:cs="宋体"/>
          <w:sz w:val="24"/>
          <w:szCs w:val="32"/>
        </w:rPr>
      </w:pPr>
      <w:r>
        <w:rPr>
          <w:rFonts w:hint="eastAsia" w:ascii="宋体" w:hAnsi="宋体" w:cs="宋体"/>
          <w:sz w:val="24"/>
          <w:szCs w:val="32"/>
        </w:rPr>
        <w:t>（1）名词解释（6题，每题5分，共30分）</w:t>
      </w:r>
    </w:p>
    <w:p>
      <w:pPr>
        <w:rPr>
          <w:rFonts w:hint="eastAsia" w:ascii="宋体" w:hAnsi="宋体" w:cs="宋体"/>
          <w:sz w:val="24"/>
          <w:szCs w:val="32"/>
        </w:rPr>
      </w:pPr>
      <w:r>
        <w:rPr>
          <w:rFonts w:hint="eastAsia" w:ascii="宋体" w:hAnsi="宋体" w:cs="宋体"/>
          <w:sz w:val="24"/>
          <w:szCs w:val="32"/>
        </w:rPr>
        <w:t>（2）简答题（6题，每题10分，共60分）</w:t>
      </w:r>
    </w:p>
    <w:p>
      <w:pPr>
        <w:rPr>
          <w:rFonts w:hint="eastAsia" w:ascii="宋体" w:hAnsi="宋体" w:cs="宋体"/>
          <w:sz w:val="24"/>
          <w:szCs w:val="32"/>
        </w:rPr>
      </w:pPr>
      <w:r>
        <w:rPr>
          <w:rFonts w:hint="eastAsia" w:ascii="宋体" w:hAnsi="宋体" w:cs="宋体"/>
          <w:sz w:val="24"/>
          <w:szCs w:val="32"/>
        </w:rPr>
        <w:t>（3）论述题（2题，每题30分，共60分）</w:t>
      </w:r>
    </w:p>
    <w:p>
      <w:pPr>
        <w:shd w:val="solid" w:color="FFFFFF" w:fill="auto"/>
        <w:autoSpaceDN w:val="0"/>
        <w:adjustRightInd w:val="0"/>
        <w:snapToGrid w:val="0"/>
        <w:ind w:firstLine="120" w:firstLineChars="50"/>
        <w:rPr>
          <w:rFonts w:hint="eastAsia" w:ascii="宋体" w:hAnsi="宋体" w:cs="宋体"/>
          <w:sz w:val="24"/>
          <w:szCs w:val="32"/>
        </w:rPr>
      </w:pPr>
      <w:r>
        <w:rPr>
          <w:rFonts w:hint="eastAsia" w:ascii="宋体" w:hAnsi="宋体" w:cs="宋体"/>
          <w:color w:val="000000"/>
          <w:sz w:val="24"/>
          <w:shd w:val="clear" w:color="auto" w:fill="FFFFFF"/>
        </w:rPr>
        <w:t>参考书目：高鸿业：《西方经济学(宏/微观)》第7版 ，中国人民大学出版社2018年</w:t>
      </w:r>
    </w:p>
    <w:p>
      <w:pPr>
        <w:widowControl/>
        <w:snapToGrid w:val="0"/>
        <w:rPr>
          <w:rFonts w:hint="eastAsia" w:ascii="宋体" w:hAnsi="宋体" w:cs="宋体"/>
          <w:b/>
          <w:kern w:val="0"/>
          <w:sz w:val="24"/>
        </w:rPr>
      </w:pPr>
      <w:r>
        <w:rPr>
          <w:rFonts w:hint="eastAsia" w:ascii="宋体" w:hAnsi="宋体" w:cs="宋体"/>
          <w:b/>
          <w:kern w:val="0"/>
          <w:sz w:val="24"/>
        </w:rPr>
        <w:t xml:space="preserve">《产业经济学》 </w:t>
      </w:r>
    </w:p>
    <w:p>
      <w:pPr>
        <w:widowControl/>
        <w:snapToGrid w:val="0"/>
        <w:rPr>
          <w:rFonts w:hint="eastAsia" w:ascii="宋体" w:hAnsi="宋体" w:cs="宋体"/>
          <w:kern w:val="0"/>
          <w:sz w:val="24"/>
        </w:rPr>
      </w:pPr>
      <w:r>
        <w:rPr>
          <w:rFonts w:hint="eastAsia" w:ascii="宋体" w:hAnsi="宋体" w:cs="宋体"/>
          <w:kern w:val="0"/>
          <w:sz w:val="24"/>
        </w:rPr>
        <w:t>（1）问答题（5题，每题10分，共50分）</w:t>
      </w:r>
    </w:p>
    <w:p>
      <w:pPr>
        <w:widowControl/>
        <w:snapToGrid w:val="0"/>
        <w:rPr>
          <w:rFonts w:hint="eastAsia" w:ascii="宋体" w:hAnsi="宋体" w:cs="宋体"/>
          <w:kern w:val="0"/>
          <w:sz w:val="24"/>
        </w:rPr>
      </w:pPr>
      <w:r>
        <w:rPr>
          <w:rFonts w:hint="eastAsia" w:ascii="宋体" w:hAnsi="宋体" w:cs="宋体"/>
          <w:kern w:val="0"/>
          <w:sz w:val="24"/>
        </w:rPr>
        <w:t>（2）论述题（2题，每题25分，共50分）</w:t>
      </w:r>
    </w:p>
    <w:p>
      <w:pPr>
        <w:widowControl/>
        <w:snapToGrid w:val="0"/>
        <w:rPr>
          <w:rFonts w:hint="eastAsia" w:ascii="宋体" w:hAnsi="宋体" w:cs="宋体"/>
          <w:b/>
          <w:kern w:val="0"/>
          <w:sz w:val="24"/>
        </w:rPr>
      </w:pPr>
    </w:p>
    <w:p>
      <w:pPr>
        <w:adjustRightInd w:val="0"/>
        <w:snapToGrid w:val="0"/>
        <w:rPr>
          <w:rFonts w:hint="eastAsia" w:ascii="宋体" w:hAnsi="宋体" w:cs="宋体"/>
          <w:b/>
          <w:sz w:val="24"/>
        </w:rPr>
      </w:pPr>
      <w:r>
        <w:rPr>
          <w:rFonts w:hint="eastAsia" w:ascii="宋体" w:hAnsi="宋体" w:cs="宋体"/>
          <w:b/>
          <w:sz w:val="24"/>
        </w:rPr>
        <w:t>考试大纲</w:t>
      </w:r>
    </w:p>
    <w:p>
      <w:pPr>
        <w:widowControl/>
        <w:snapToGrid w:val="0"/>
        <w:jc w:val="center"/>
        <w:rPr>
          <w:rFonts w:hint="eastAsia" w:ascii="宋体" w:hAnsi="宋体" w:cs="黑体"/>
          <w:b/>
          <w:bCs/>
          <w:kern w:val="0"/>
          <w:sz w:val="36"/>
          <w:szCs w:val="36"/>
        </w:rPr>
      </w:pPr>
      <w:r>
        <w:rPr>
          <w:rFonts w:hint="eastAsia" w:ascii="宋体" w:hAnsi="宋体" w:cs="黑体"/>
          <w:b/>
          <w:bCs/>
          <w:kern w:val="0"/>
          <w:sz w:val="36"/>
          <w:szCs w:val="36"/>
        </w:rPr>
        <w:t>《经济学基础》</w:t>
      </w: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pPr>
        <w:widowControl/>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snapToGrid w:val="0"/>
        <w:rPr>
          <w:rFonts w:ascii="宋体" w:hAnsi="宋体" w:cs="宋体"/>
          <w:b/>
          <w:bCs/>
          <w:color w:val="000000"/>
          <w:sz w:val="24"/>
          <w:shd w:val="clear" w:color="auto" w:fill="FFFFFF"/>
        </w:rPr>
      </w:pPr>
    </w:p>
    <w:p>
      <w:pPr>
        <w:widowControl/>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pPr>
        <w:widowControl/>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pPr>
        <w:numPr>
          <w:ilvl w:val="0"/>
          <w:numId w:val="1"/>
        </w:numPr>
        <w:shd w:val="solid" w:color="FFFFFF" w:fill="auto"/>
        <w:autoSpaceDN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pPr>
        <w:shd w:val="solid" w:color="FFFFFF" w:fill="auto"/>
        <w:autoSpaceDN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pPr>
        <w:shd w:val="solid" w:color="FFFFFF" w:fill="auto"/>
        <w:autoSpaceDN w:val="0"/>
        <w:rPr>
          <w:rFonts w:hint="eastAsia" w:ascii="宋体" w:hAnsi="宋体" w:cs="宋体"/>
          <w:b/>
          <w:bCs/>
          <w:color w:val="000000"/>
          <w:sz w:val="24"/>
          <w:shd w:val="clear" w:color="auto" w:fill="FFFFFF"/>
        </w:rPr>
      </w:pPr>
    </w:p>
    <w:p>
      <w:pPr>
        <w:shd w:val="solid" w:color="FFFFFF" w:fill="auto"/>
        <w:autoSpaceDN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pPr>
        <w:shd w:val="solid" w:color="FFFFFF" w:fill="auto"/>
        <w:autoSpaceDN w:val="0"/>
        <w:ind w:left="420"/>
        <w:rPr>
          <w:rFonts w:hint="eastAsia" w:ascii="宋体" w:hAnsi="宋体" w:cs="宋体"/>
          <w:color w:val="000000"/>
          <w:sz w:val="24"/>
          <w:shd w:val="clear" w:color="auto" w:fill="FFFFFF"/>
        </w:rPr>
      </w:pPr>
    </w:p>
    <w:p>
      <w:pPr>
        <w:adjustRightInd w:val="0"/>
        <w:snapToGrid w:val="0"/>
        <w:rPr>
          <w:rFonts w:hint="eastAsia" w:ascii="宋体" w:hAnsi="宋体" w:cs="宋体"/>
          <w:b/>
          <w:color w:val="000000"/>
          <w:sz w:val="24"/>
        </w:rPr>
      </w:pPr>
    </w:p>
    <w:p>
      <w:pPr>
        <w:widowControl/>
        <w:snapToGrid w:val="0"/>
        <w:jc w:val="center"/>
        <w:rPr>
          <w:rFonts w:hint="eastAsia" w:ascii="宋体" w:hAnsi="宋体" w:cs="宋体"/>
          <w:b/>
          <w:bCs/>
          <w:kern w:val="0"/>
          <w:sz w:val="24"/>
        </w:rPr>
      </w:pPr>
      <w:r>
        <w:rPr>
          <w:rFonts w:hint="eastAsia" w:ascii="宋体" w:hAnsi="宋体" w:cs="黑体"/>
          <w:b/>
          <w:bCs/>
          <w:kern w:val="0"/>
          <w:sz w:val="36"/>
          <w:szCs w:val="36"/>
        </w:rPr>
        <w:t>《产业经济学》</w:t>
      </w: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《产业经济学》考试大纲概述：</w:t>
      </w:r>
    </w:p>
    <w:p>
      <w:pPr>
        <w:widowControl/>
        <w:snapToGrid w:val="0"/>
        <w:ind w:firstLine="480" w:firstLineChars="200"/>
        <w:rPr>
          <w:rFonts w:hint="eastAsia" w:ascii="宋体" w:hAnsi="宋体" w:cs="宋体"/>
          <w:b/>
          <w:bCs/>
          <w:color w:val="FF00FF"/>
          <w:kern w:val="0"/>
          <w:sz w:val="24"/>
        </w:rPr>
      </w:pPr>
      <w:r>
        <w:rPr>
          <w:rFonts w:hint="eastAsia" w:ascii="宋体" w:hAnsi="宋体" w:cs="宋体"/>
          <w:kern w:val="0"/>
          <w:sz w:val="24"/>
        </w:rPr>
        <w:t>产业经济学：研究产业的形成、发展和调整，既涉及了偏向宏观的产业布局、产业结构调整与升级等，也涉及微观问题的定价理论、企业兼并、技术创新等，该学科属于中观经济学科范畴。考察学生对基本知识及本学科学术动态的掌握程度。注重对学生知识结构和学术功底的考察，考察学生综合运用学科知识，分析、阐释产业经济现象的能力。</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 xml:space="preserve">一、 产业经济学导论 </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 xml:space="preserve">产业经济学的研究对象，学科体系及研究方法  </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产业经济学的理论渊源和发展过程</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产业的涵义及其一般分类方法</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二、产业组织理论演变</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产业组织理论的研究对象和理论渊源</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不同学派的产业组织理论的主要观点</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三、企业与市场</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企业的性质</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竞争与垄断的关系</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市场结构</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市场行为</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市场绩效</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四、产业结构理论演变</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产业结构理论的形成与发展过程</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产业结构的演变及其规律</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产业结构变动的影响因素</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五、产业结构优化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产业结构优化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产业结构的高度化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产业结构的合理化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六、产业关联</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产业关联方式。</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投入产出分析</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产业波及效果分析</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七、产业布局</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产业布局理论的形成和发展。</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产业布局的影响因素</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产业布局实践</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八、产业政策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产业政策的涵义</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产业政策的一般模式和演变规律</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产业政策评估</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九、产业政策类型</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国内外产业政策的实践经验</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产业组织政策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产业结构政策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产业布局政策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产业技术政策</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十、产业规制</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规制的原因</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产业规制模式</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经济性规制</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社会性规制</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自然垄断产业规制</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产业规制的演变趋势</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十一、产业发展</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产业发展的生命周期理论</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产业发展的模式。</w:t>
      </w:r>
    </w:p>
    <w:p>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产业可持续发展</w:t>
      </w:r>
    </w:p>
    <w:p>
      <w:pPr>
        <w:ind w:firstLine="480" w:firstLineChars="200"/>
        <w:rPr>
          <w:rFonts w:hint="eastAsia" w:ascii="宋体" w:hAnsi="宋体" w:cs="宋体"/>
          <w:bCs/>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TUxNWU3OWIyOTI4YjYwM2JiN2MzODcxZmNiZTAifQ=="/>
  </w:docVars>
  <w:rsids>
    <w:rsidRoot w:val="00945F1B"/>
    <w:rsid w:val="00000335"/>
    <w:rsid w:val="000030B2"/>
    <w:rsid w:val="000429C8"/>
    <w:rsid w:val="00085AF3"/>
    <w:rsid w:val="000D258E"/>
    <w:rsid w:val="001125CF"/>
    <w:rsid w:val="001858B3"/>
    <w:rsid w:val="001C7F28"/>
    <w:rsid w:val="00217406"/>
    <w:rsid w:val="00227C26"/>
    <w:rsid w:val="00251D55"/>
    <w:rsid w:val="00255D2F"/>
    <w:rsid w:val="002E3BF4"/>
    <w:rsid w:val="002E4F17"/>
    <w:rsid w:val="00300C4C"/>
    <w:rsid w:val="00345348"/>
    <w:rsid w:val="0037500F"/>
    <w:rsid w:val="00386000"/>
    <w:rsid w:val="00397914"/>
    <w:rsid w:val="003A1FC3"/>
    <w:rsid w:val="00402AAE"/>
    <w:rsid w:val="00412C01"/>
    <w:rsid w:val="0041406E"/>
    <w:rsid w:val="00473378"/>
    <w:rsid w:val="004800D1"/>
    <w:rsid w:val="004C6F43"/>
    <w:rsid w:val="004F76F1"/>
    <w:rsid w:val="00537578"/>
    <w:rsid w:val="00565735"/>
    <w:rsid w:val="005919A1"/>
    <w:rsid w:val="00611DBB"/>
    <w:rsid w:val="00620ED1"/>
    <w:rsid w:val="00694188"/>
    <w:rsid w:val="006C1388"/>
    <w:rsid w:val="006E7E1E"/>
    <w:rsid w:val="006F23CE"/>
    <w:rsid w:val="00765D88"/>
    <w:rsid w:val="00775FF9"/>
    <w:rsid w:val="007951E9"/>
    <w:rsid w:val="0081535A"/>
    <w:rsid w:val="00840559"/>
    <w:rsid w:val="008535BC"/>
    <w:rsid w:val="00856296"/>
    <w:rsid w:val="00867BCE"/>
    <w:rsid w:val="00923B06"/>
    <w:rsid w:val="00945F1B"/>
    <w:rsid w:val="00962345"/>
    <w:rsid w:val="00963F04"/>
    <w:rsid w:val="00A225C3"/>
    <w:rsid w:val="00A57050"/>
    <w:rsid w:val="00A71396"/>
    <w:rsid w:val="00A93DD3"/>
    <w:rsid w:val="00AE6260"/>
    <w:rsid w:val="00AF6F48"/>
    <w:rsid w:val="00B33EB2"/>
    <w:rsid w:val="00B56BAC"/>
    <w:rsid w:val="00B65C65"/>
    <w:rsid w:val="00B7249C"/>
    <w:rsid w:val="00B80AE6"/>
    <w:rsid w:val="00BB06E5"/>
    <w:rsid w:val="00BC384A"/>
    <w:rsid w:val="00CC487B"/>
    <w:rsid w:val="00CD3F74"/>
    <w:rsid w:val="00CE0B94"/>
    <w:rsid w:val="00D325C6"/>
    <w:rsid w:val="00DB3C9A"/>
    <w:rsid w:val="00DB7ECD"/>
    <w:rsid w:val="00E04D3F"/>
    <w:rsid w:val="00E41FD2"/>
    <w:rsid w:val="00ED6AA9"/>
    <w:rsid w:val="00F66935"/>
    <w:rsid w:val="00FB3D0D"/>
    <w:rsid w:val="00FD4724"/>
    <w:rsid w:val="00FD6FF3"/>
    <w:rsid w:val="3AE13919"/>
    <w:rsid w:val="453018B3"/>
    <w:rsid w:val="4E193361"/>
    <w:rsid w:val="50ED7B03"/>
    <w:rsid w:val="535B7B08"/>
    <w:rsid w:val="539923D4"/>
    <w:rsid w:val="555B1EF2"/>
    <w:rsid w:val="643E708A"/>
    <w:rsid w:val="6F660BF3"/>
    <w:rsid w:val="757105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left="363" w:hanging="363" w:hangingChars="173"/>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paragraph" w:customStyle="1" w:styleId="8">
    <w:name w:val="大纲正文"/>
    <w:basedOn w:val="1"/>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574</Words>
  <Characters>3272</Characters>
  <Lines>27</Lines>
  <Paragraphs>7</Paragraphs>
  <TotalTime>0</TotalTime>
  <ScaleCrop>false</ScaleCrop>
  <LinksUpToDate>false</LinksUpToDate>
  <CharactersWithSpaces>3839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2016-06-08T07:03:00Z</dcterms:created>
  <dc:creator>雨林木风</dc:creator>
  <cp:lastModifiedBy>~ing</cp:lastModifiedBy>
  <cp:lastPrinted>2018-05-23T03:23:00Z</cp:lastPrinted>
  <dcterms:modified xsi:type="dcterms:W3CDTF">2023-09-18T02:49:09Z</dcterms:modified>
  <dc:title>产业经济学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0C0131A394914FEA9E0C4977FE3A9463_13</vt:lpwstr>
  </property>
</Properties>
</file>