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区域经济学</w:t>
      </w:r>
      <w:bookmarkStart w:id="0" w:name="_GoBack"/>
      <w:r>
        <w:rPr>
          <w:rFonts w:hint="eastAsia" w:ascii="黑体" w:hAnsi="黑体" w:eastAsia="黑体" w:cs="黑体"/>
          <w:sz w:val="36"/>
          <w:szCs w:val="36"/>
        </w:rPr>
        <w:t>020202</w:t>
      </w:r>
      <w:bookmarkEnd w:id="0"/>
    </w:p>
    <w:p>
      <w:pPr>
        <w:adjustRightInd w:val="0"/>
        <w:snapToGrid w:val="0"/>
        <w:jc w:val="center"/>
        <w:rPr>
          <w:rFonts w:hint="eastAsia" w:ascii="宋体" w:hAnsi="宋体" w:cs="黑体"/>
          <w:b/>
          <w:sz w:val="36"/>
          <w:szCs w:val="36"/>
        </w:rPr>
      </w:pPr>
    </w:p>
    <w:p>
      <w:pPr>
        <w:adjustRightInd w:val="0"/>
        <w:snapToGrid w:val="0"/>
        <w:rPr>
          <w:rFonts w:hint="eastAsia" w:ascii="宋体" w:hAnsi="宋体" w:cs="宋体"/>
          <w:b/>
          <w:sz w:val="24"/>
          <w:szCs w:val="24"/>
        </w:rPr>
      </w:pPr>
      <w:r>
        <w:rPr>
          <w:rFonts w:hint="eastAsia" w:ascii="宋体" w:hAnsi="宋体" w:cs="宋体"/>
          <w:b/>
          <w:sz w:val="24"/>
          <w:szCs w:val="24"/>
        </w:rPr>
        <w:t>学科点简介:</w:t>
      </w:r>
      <w:r>
        <w:rPr>
          <w:rFonts w:hint="eastAsia" w:ascii="宋体" w:hAnsi="宋体" w:cs="宋体"/>
          <w:sz w:val="24"/>
          <w:szCs w:val="24"/>
        </w:rPr>
        <w:t>区域经济学是广东财经大学设立学科中相对年轻的</w:t>
      </w:r>
      <w:r>
        <w:rPr>
          <w:rFonts w:hint="eastAsia" w:ascii="宋体" w:hAnsi="宋体" w:cs="宋体"/>
          <w:sz w:val="24"/>
          <w:szCs w:val="24"/>
          <w:lang w:eastAsia="zh-CN"/>
        </w:rPr>
        <w:t>硕士学位点</w:t>
      </w:r>
      <w:r>
        <w:rPr>
          <w:rFonts w:hint="eastAsia" w:ascii="宋体" w:hAnsi="宋体" w:cs="宋体"/>
          <w:sz w:val="24"/>
          <w:szCs w:val="24"/>
        </w:rPr>
        <w:t>。本硕士点倡导学科的多元交叉融合，已在区域经济空间结构、区域产业布局与集聚、数字</w:t>
      </w:r>
      <w:r>
        <w:rPr>
          <w:rFonts w:hint="eastAsia" w:ascii="宋体" w:hAnsi="宋体" w:cs="宋体"/>
          <w:sz w:val="24"/>
          <w:szCs w:val="24"/>
          <w:lang w:eastAsia="zh-CN"/>
        </w:rPr>
        <w:t>经济</w:t>
      </w:r>
      <w:r>
        <w:rPr>
          <w:rFonts w:hint="eastAsia" w:ascii="宋体" w:hAnsi="宋体" w:cs="宋体"/>
          <w:sz w:val="24"/>
          <w:szCs w:val="24"/>
        </w:rPr>
        <w:t>与区域</w:t>
      </w:r>
      <w:r>
        <w:rPr>
          <w:rFonts w:hint="eastAsia" w:ascii="宋体" w:hAnsi="宋体" w:cs="宋体"/>
          <w:sz w:val="24"/>
          <w:szCs w:val="24"/>
          <w:lang w:eastAsia="zh-CN"/>
        </w:rPr>
        <w:t>发展</w:t>
      </w:r>
      <w:r>
        <w:rPr>
          <w:rFonts w:hint="eastAsia" w:ascii="宋体" w:hAnsi="宋体" w:cs="宋体"/>
          <w:sz w:val="24"/>
          <w:szCs w:val="24"/>
        </w:rPr>
        <w:t>、</w:t>
      </w:r>
      <w:r>
        <w:rPr>
          <w:rFonts w:hint="eastAsia" w:ascii="宋体" w:hAnsi="宋体" w:cs="宋体"/>
          <w:sz w:val="24"/>
          <w:szCs w:val="24"/>
          <w:lang w:eastAsia="zh-CN"/>
        </w:rPr>
        <w:t>经济区位</w:t>
      </w:r>
      <w:r>
        <w:rPr>
          <w:rFonts w:hint="eastAsia" w:ascii="宋体" w:hAnsi="宋体" w:cs="宋体"/>
          <w:sz w:val="24"/>
          <w:szCs w:val="24"/>
        </w:rPr>
        <w:t>等方面取得了一系列</w:t>
      </w:r>
      <w:r>
        <w:rPr>
          <w:rFonts w:hint="eastAsia" w:ascii="宋体" w:hAnsi="宋体" w:cs="宋体"/>
          <w:sz w:val="24"/>
          <w:szCs w:val="24"/>
          <w:lang w:eastAsia="zh-CN"/>
        </w:rPr>
        <w:t>重要</w:t>
      </w:r>
      <w:r>
        <w:rPr>
          <w:rFonts w:hint="eastAsia" w:ascii="宋体" w:hAnsi="宋体" w:cs="宋体"/>
          <w:sz w:val="24"/>
          <w:szCs w:val="24"/>
        </w:rPr>
        <w:t>研究成果。近年已承担国家自然科学基金、国家社会科学基金、教育部人文社会科学规划</w:t>
      </w:r>
      <w:r>
        <w:rPr>
          <w:rFonts w:hint="eastAsia" w:ascii="宋体" w:hAnsi="宋体" w:cs="宋体"/>
          <w:sz w:val="24"/>
          <w:szCs w:val="24"/>
          <w:lang w:eastAsia="zh-CN"/>
        </w:rPr>
        <w:t>基金</w:t>
      </w:r>
      <w:r>
        <w:rPr>
          <w:rFonts w:hint="eastAsia" w:ascii="宋体" w:hAnsi="宋体" w:cs="宋体"/>
          <w:sz w:val="24"/>
          <w:szCs w:val="24"/>
        </w:rPr>
        <w:t>、广东省自然科学基金和广东省社会科学基金</w:t>
      </w:r>
      <w:r>
        <w:rPr>
          <w:rFonts w:hint="eastAsia" w:ascii="宋体" w:hAnsi="宋体" w:cs="宋体"/>
          <w:sz w:val="24"/>
          <w:szCs w:val="24"/>
          <w:lang w:eastAsia="zh-CN"/>
        </w:rPr>
        <w:t>等省部级及以上项目十多项</w:t>
      </w:r>
      <w:r>
        <w:rPr>
          <w:rFonts w:hint="eastAsia" w:ascii="宋体" w:hAnsi="宋体" w:cs="宋体"/>
          <w:sz w:val="24"/>
          <w:szCs w:val="24"/>
        </w:rPr>
        <w:t>；在《经济学季刊》《数量经济技术经济研究》《财贸经济》《经济科学》《</w:t>
      </w:r>
      <w:r>
        <w:rPr>
          <w:rFonts w:hint="eastAsia" w:ascii="宋体" w:hAnsi="宋体" w:cs="宋体"/>
          <w:sz w:val="24"/>
          <w:szCs w:val="24"/>
          <w:lang w:eastAsia="zh-CN"/>
        </w:rPr>
        <w:t>地理科学</w:t>
      </w:r>
      <w:r>
        <w:rPr>
          <w:rFonts w:hint="eastAsia" w:ascii="宋体" w:hAnsi="宋体" w:cs="宋体"/>
          <w:sz w:val="24"/>
          <w:szCs w:val="24"/>
        </w:rPr>
        <w:t>》</w:t>
      </w:r>
      <w:r>
        <w:rPr>
          <w:rFonts w:hint="eastAsia" w:ascii="宋体" w:hAnsi="宋体" w:cs="宋体"/>
          <w:sz w:val="24"/>
          <w:szCs w:val="24"/>
          <w:lang w:eastAsia="zh-CN"/>
        </w:rPr>
        <w:t>《科学学研究》</w:t>
      </w:r>
      <w:r>
        <w:rPr>
          <w:rFonts w:hint="eastAsia" w:ascii="宋体" w:hAnsi="宋体" w:cs="宋体"/>
          <w:sz w:val="24"/>
          <w:szCs w:val="24"/>
        </w:rPr>
        <w:t>等学术</w:t>
      </w:r>
      <w:r>
        <w:rPr>
          <w:rFonts w:hint="eastAsia" w:ascii="宋体" w:hAnsi="宋体" w:cs="宋体"/>
          <w:sz w:val="24"/>
          <w:szCs w:val="24"/>
          <w:lang w:eastAsia="zh-CN"/>
        </w:rPr>
        <w:t>期刊</w:t>
      </w:r>
      <w:r>
        <w:rPr>
          <w:rFonts w:hint="eastAsia" w:ascii="宋体" w:hAnsi="宋体" w:cs="宋体"/>
          <w:sz w:val="24"/>
          <w:szCs w:val="24"/>
        </w:rPr>
        <w:t>发表</w:t>
      </w:r>
      <w:r>
        <w:rPr>
          <w:rFonts w:hint="eastAsia" w:ascii="宋体" w:hAnsi="宋体" w:cs="宋体"/>
          <w:sz w:val="24"/>
          <w:szCs w:val="24"/>
          <w:lang w:eastAsia="zh-CN"/>
        </w:rPr>
        <w:t>论文数十篇</w:t>
      </w:r>
      <w:r>
        <w:rPr>
          <w:rFonts w:hint="eastAsia" w:ascii="宋体" w:hAnsi="宋体" w:cs="宋体"/>
          <w:sz w:val="24"/>
          <w:szCs w:val="24"/>
        </w:rPr>
        <w:t>。已</w:t>
      </w:r>
      <w:r>
        <w:rPr>
          <w:rFonts w:ascii="宋体" w:hAnsi="宋体" w:cs="宋体"/>
          <w:sz w:val="24"/>
          <w:szCs w:val="24"/>
        </w:rPr>
        <w:t>打造成为</w:t>
      </w:r>
      <w:r>
        <w:rPr>
          <w:rFonts w:hint="eastAsia" w:ascii="宋体" w:hAnsi="宋体" w:cs="宋体"/>
          <w:sz w:val="24"/>
          <w:szCs w:val="24"/>
        </w:rPr>
        <w:t>一支充满青春活力和科学创造力的学术团队。</w:t>
      </w:r>
    </w:p>
    <w:p>
      <w:pPr>
        <w:adjustRightInd w:val="0"/>
        <w:snapToGrid w:val="0"/>
        <w:rPr>
          <w:rFonts w:hint="eastAsia" w:ascii="宋体" w:hAnsi="宋体" w:cs="宋体"/>
          <w:sz w:val="24"/>
          <w:szCs w:val="24"/>
        </w:rPr>
      </w:pPr>
    </w:p>
    <w:p>
      <w:pPr>
        <w:adjustRightInd w:val="0"/>
        <w:snapToGrid w:val="0"/>
        <w:rPr>
          <w:rFonts w:hint="eastAsia" w:ascii="宋体" w:hAnsi="宋体" w:cs="宋体"/>
          <w:sz w:val="24"/>
          <w:szCs w:val="24"/>
        </w:rPr>
      </w:pPr>
      <w:r>
        <w:rPr>
          <w:rFonts w:hint="eastAsia" w:ascii="宋体" w:hAnsi="宋体" w:cs="宋体"/>
          <w:b/>
          <w:sz w:val="24"/>
          <w:szCs w:val="24"/>
        </w:rPr>
        <w:t>培养目标:</w:t>
      </w:r>
      <w:r>
        <w:rPr>
          <w:rFonts w:hint="eastAsia" w:ascii="宋体" w:hAnsi="宋体" w:cs="宋体"/>
          <w:sz w:val="24"/>
          <w:szCs w:val="24"/>
        </w:rPr>
        <w:t>本专业培养具有改革开放意识，严谨求实，德智体全面发展的高层次专业人才。通过三年培养，能够掌握较为扎实的区域经济学系统理论知识，有较宽的经济学知识面，较强的科学研究能力和从事实际经济管理管理的能力。能用区域经济学理论和方法解释、分析现实问题；熟练掌握一门外语，并熟练地使用信息与网络技术；具备从事本专业学术研究、理论教学和实际应用的能力，为各级党政机关、高等院校、党校、行政学院、科研院所、企事业单位输送高层次人才。</w:t>
      </w:r>
    </w:p>
    <w:p>
      <w:pPr>
        <w:adjustRightInd w:val="0"/>
        <w:snapToGrid w:val="0"/>
        <w:rPr>
          <w:rFonts w:hint="eastAsia" w:ascii="宋体" w:hAnsi="宋体" w:cs="宋体"/>
          <w:sz w:val="24"/>
          <w:szCs w:val="24"/>
        </w:rPr>
      </w:pPr>
    </w:p>
    <w:p>
      <w:pPr>
        <w:adjustRightInd w:val="0"/>
        <w:snapToGrid w:val="0"/>
        <w:rPr>
          <w:rFonts w:hint="eastAsia" w:ascii="宋体" w:hAnsi="宋体" w:cs="宋体"/>
          <w:sz w:val="24"/>
          <w:szCs w:val="24"/>
        </w:rPr>
      </w:pPr>
      <w:r>
        <w:rPr>
          <w:rFonts w:hint="eastAsia" w:ascii="宋体" w:hAnsi="宋体" w:cs="宋体"/>
          <w:b/>
          <w:sz w:val="24"/>
          <w:szCs w:val="24"/>
        </w:rPr>
        <w:t>主要课程:</w:t>
      </w:r>
      <w:r>
        <w:rPr>
          <w:rFonts w:hint="eastAsia" w:ascii="宋体" w:hAnsi="宋体" w:cs="宋体"/>
          <w:sz w:val="24"/>
          <w:szCs w:val="24"/>
        </w:rPr>
        <w:t>中级微观经济学、中级宏观经济学、中级</w:t>
      </w:r>
      <w:r>
        <w:rPr>
          <w:rFonts w:ascii="宋体" w:hAnsi="宋体" w:cs="宋体"/>
          <w:sz w:val="24"/>
          <w:szCs w:val="24"/>
        </w:rPr>
        <w:t>计量经济学、</w:t>
      </w:r>
      <w:r>
        <w:rPr>
          <w:rFonts w:hint="eastAsia" w:ascii="宋体" w:hAnsi="宋体" w:cs="宋体"/>
          <w:sz w:val="24"/>
          <w:szCs w:val="24"/>
        </w:rPr>
        <w:t>空间经济学、城市经济学、区域经济理论与政策、</w:t>
      </w:r>
      <w:r>
        <w:rPr>
          <w:rFonts w:hint="eastAsia" w:ascii="宋体" w:hAnsi="宋体" w:cs="宋体"/>
          <w:sz w:val="24"/>
          <w:szCs w:val="24"/>
          <w:lang w:eastAsia="zh-CN"/>
        </w:rPr>
        <w:t>数字经济与区域发展、</w:t>
      </w:r>
      <w:r>
        <w:rPr>
          <w:rFonts w:hint="eastAsia" w:ascii="宋体" w:hAnsi="宋体" w:cs="宋体"/>
          <w:sz w:val="24"/>
          <w:szCs w:val="24"/>
        </w:rPr>
        <w:t>资源与环境经济学、计量经济学、数字化城市</w:t>
      </w:r>
      <w:r>
        <w:rPr>
          <w:rFonts w:ascii="宋体" w:hAnsi="宋体" w:cs="宋体"/>
          <w:sz w:val="24"/>
          <w:szCs w:val="24"/>
        </w:rPr>
        <w:t>研究</w:t>
      </w:r>
      <w:r>
        <w:rPr>
          <w:rFonts w:hint="eastAsia" w:ascii="宋体" w:hAnsi="宋体" w:cs="宋体"/>
          <w:sz w:val="24"/>
          <w:szCs w:val="24"/>
        </w:rPr>
        <w:t>、城市与区域规划、</w:t>
      </w:r>
      <w:r>
        <w:rPr>
          <w:rFonts w:ascii="宋体" w:hAnsi="宋体" w:cs="宋体"/>
          <w:sz w:val="24"/>
          <w:szCs w:val="24"/>
        </w:rPr>
        <w:t>粤港澳经济研究</w:t>
      </w:r>
      <w:r>
        <w:rPr>
          <w:rFonts w:hint="eastAsia" w:ascii="宋体" w:hAnsi="宋体" w:cs="宋体"/>
          <w:sz w:val="24"/>
          <w:szCs w:val="24"/>
        </w:rPr>
        <w:t>。</w:t>
      </w:r>
    </w:p>
    <w:p>
      <w:pPr>
        <w:adjustRightInd w:val="0"/>
        <w:snapToGrid w:val="0"/>
        <w:rPr>
          <w:rFonts w:hint="eastAsia" w:ascii="宋体" w:hAnsi="宋体" w:cs="宋体"/>
          <w:sz w:val="24"/>
          <w:szCs w:val="24"/>
        </w:rPr>
      </w:pPr>
    </w:p>
    <w:p>
      <w:pPr>
        <w:adjustRightInd w:val="0"/>
        <w:snapToGrid w:val="0"/>
        <w:rPr>
          <w:rFonts w:hint="eastAsia" w:ascii="宋体" w:hAnsi="宋体" w:cs="宋体"/>
          <w:b/>
          <w:sz w:val="24"/>
          <w:szCs w:val="24"/>
        </w:rPr>
      </w:pPr>
      <w:r>
        <w:rPr>
          <w:rFonts w:hint="eastAsia" w:ascii="宋体" w:hAnsi="宋体" w:cs="宋体"/>
          <w:b/>
          <w:sz w:val="24"/>
          <w:szCs w:val="24"/>
        </w:rPr>
        <w:t>就业方向:</w:t>
      </w:r>
      <w:r>
        <w:rPr>
          <w:rFonts w:hint="eastAsia" w:ascii="宋体" w:hAnsi="宋体" w:cs="宋体"/>
          <w:sz w:val="24"/>
          <w:szCs w:val="24"/>
        </w:rPr>
        <w:t>政府管理部门、教学和科研单位、公司；还可进一步报考相关学科门类的博士研究生，继续求学深造。</w:t>
      </w:r>
    </w:p>
    <w:p>
      <w:pPr>
        <w:adjustRightInd w:val="0"/>
        <w:snapToGrid w:val="0"/>
        <w:ind w:left="160" w:leftChars="76" w:firstLine="472" w:firstLineChars="196"/>
        <w:rPr>
          <w:rFonts w:hint="eastAsia" w:ascii="宋体" w:hAnsi="宋体" w:cs="宋体"/>
          <w:b/>
          <w:sz w:val="24"/>
          <w:szCs w:val="24"/>
        </w:rPr>
      </w:pPr>
    </w:p>
    <w:p>
      <w:pPr>
        <w:adjustRightInd w:val="0"/>
        <w:snapToGrid w:val="0"/>
        <w:jc w:val="center"/>
        <w:rPr>
          <w:rFonts w:hint="eastAsia" w:ascii="宋体" w:hAnsi="宋体" w:cs="宋体"/>
          <w:b/>
          <w:sz w:val="24"/>
          <w:szCs w:val="24"/>
        </w:rPr>
      </w:pPr>
      <w:r>
        <w:rPr>
          <w:rFonts w:hint="eastAsia" w:ascii="宋体" w:hAnsi="宋体" w:cs="宋体"/>
          <w:b/>
          <w:sz w:val="24"/>
          <w:szCs w:val="24"/>
        </w:rPr>
        <w:t>专业代码：020202                               咨询电话：020-84261737</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3" w:hRule="atLeast"/>
        </w:trPr>
        <w:tc>
          <w:tcPr>
            <w:tcW w:w="828" w:type="dxa"/>
            <w:noWrap w:val="0"/>
            <w:vAlign w:val="center"/>
          </w:tcPr>
          <w:p>
            <w:pPr>
              <w:adjustRightInd w:val="0"/>
              <w:snapToGrid w:val="0"/>
              <w:jc w:val="center"/>
              <w:rPr>
                <w:rFonts w:hint="eastAsia" w:ascii="宋体" w:hAnsi="宋体" w:cs="宋体"/>
                <w:b/>
                <w:sz w:val="24"/>
                <w:szCs w:val="24"/>
              </w:rPr>
            </w:pPr>
            <w:r>
              <w:rPr>
                <w:rFonts w:hint="eastAsia" w:ascii="宋体" w:hAnsi="宋体" w:cs="宋体"/>
                <w:b/>
                <w:sz w:val="24"/>
                <w:szCs w:val="24"/>
              </w:rPr>
              <w:t>序号</w:t>
            </w:r>
          </w:p>
        </w:tc>
        <w:tc>
          <w:tcPr>
            <w:tcW w:w="3108" w:type="dxa"/>
            <w:noWrap w:val="0"/>
            <w:vAlign w:val="center"/>
          </w:tcPr>
          <w:p>
            <w:pPr>
              <w:adjustRightInd w:val="0"/>
              <w:snapToGrid w:val="0"/>
              <w:jc w:val="center"/>
              <w:rPr>
                <w:rFonts w:hint="eastAsia" w:ascii="宋体" w:hAnsi="宋体" w:cs="宋体"/>
                <w:b/>
                <w:sz w:val="24"/>
                <w:szCs w:val="24"/>
              </w:rPr>
            </w:pPr>
            <w:r>
              <w:rPr>
                <w:rFonts w:hint="eastAsia" w:ascii="宋体" w:hAnsi="宋体" w:cs="宋体"/>
                <w:b/>
                <w:sz w:val="24"/>
                <w:szCs w:val="24"/>
              </w:rPr>
              <w:t>研究方向</w:t>
            </w:r>
          </w:p>
        </w:tc>
        <w:tc>
          <w:tcPr>
            <w:tcW w:w="3118" w:type="dxa"/>
            <w:noWrap w:val="0"/>
            <w:vAlign w:val="center"/>
          </w:tcPr>
          <w:p>
            <w:pPr>
              <w:adjustRightInd w:val="0"/>
              <w:snapToGrid w:val="0"/>
              <w:jc w:val="center"/>
              <w:rPr>
                <w:rFonts w:hint="eastAsia" w:ascii="宋体" w:hAnsi="宋体" w:cs="宋体"/>
                <w:b/>
                <w:sz w:val="24"/>
                <w:szCs w:val="24"/>
              </w:rPr>
            </w:pPr>
            <w:r>
              <w:rPr>
                <w:rFonts w:hint="eastAsia" w:ascii="宋体" w:hAnsi="宋体" w:cs="宋体"/>
                <w:b/>
                <w:sz w:val="24"/>
                <w:szCs w:val="24"/>
              </w:rPr>
              <w:t>初试科目</w:t>
            </w:r>
          </w:p>
        </w:tc>
        <w:tc>
          <w:tcPr>
            <w:tcW w:w="1701" w:type="dxa"/>
            <w:noWrap w:val="0"/>
            <w:vAlign w:val="center"/>
          </w:tcPr>
          <w:p>
            <w:pPr>
              <w:adjustRightInd w:val="0"/>
              <w:snapToGrid w:val="0"/>
              <w:jc w:val="center"/>
              <w:rPr>
                <w:rFonts w:hint="eastAsia" w:ascii="宋体" w:hAnsi="宋体" w:cs="宋体"/>
                <w:b/>
                <w:sz w:val="24"/>
                <w:szCs w:val="24"/>
              </w:rPr>
            </w:pPr>
            <w:r>
              <w:rPr>
                <w:rFonts w:hint="eastAsia" w:ascii="宋体" w:hAnsi="宋体" w:cs="宋体"/>
                <w:b/>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3" w:hRule="atLeast"/>
        </w:trPr>
        <w:tc>
          <w:tcPr>
            <w:tcW w:w="828" w:type="dxa"/>
            <w:noWrap w:val="0"/>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1</w:t>
            </w:r>
          </w:p>
        </w:tc>
        <w:tc>
          <w:tcPr>
            <w:tcW w:w="3108" w:type="dxa"/>
            <w:noWrap w:val="0"/>
            <w:vAlign w:val="center"/>
          </w:tcPr>
          <w:p>
            <w:pPr>
              <w:adjustRightInd w:val="0"/>
              <w:snapToGrid w:val="0"/>
              <w:rPr>
                <w:rFonts w:hint="eastAsia" w:ascii="宋体" w:hAnsi="宋体" w:cs="宋体"/>
                <w:sz w:val="24"/>
                <w:szCs w:val="24"/>
              </w:rPr>
            </w:pPr>
            <w:r>
              <w:rPr>
                <w:rFonts w:hint="eastAsia" w:ascii="宋体" w:hAnsi="宋体" w:cs="宋体"/>
                <w:sz w:val="24"/>
                <w:szCs w:val="24"/>
              </w:rPr>
              <w:t>区域协作与区域经济一体化</w:t>
            </w:r>
          </w:p>
        </w:tc>
        <w:tc>
          <w:tcPr>
            <w:tcW w:w="3118" w:type="dxa"/>
            <w:vMerge w:val="restart"/>
            <w:noWrap w:val="0"/>
            <w:vAlign w:val="center"/>
          </w:tcPr>
          <w:p>
            <w:pPr>
              <w:adjustRightInd w:val="0"/>
              <w:snapToGrid w:val="0"/>
              <w:rPr>
                <w:rFonts w:hint="eastAsia" w:ascii="宋体" w:hAnsi="宋体" w:cs="宋体"/>
                <w:sz w:val="24"/>
                <w:szCs w:val="24"/>
              </w:rPr>
            </w:pPr>
            <w:r>
              <w:rPr>
                <w:rFonts w:hint="eastAsia" w:ascii="宋体" w:hAnsi="宋体" w:cs="宋体"/>
                <w:sz w:val="24"/>
                <w:szCs w:val="24"/>
              </w:rPr>
              <w:t>（1）▲思想政治理论（100分）</w:t>
            </w:r>
          </w:p>
          <w:p>
            <w:pPr>
              <w:adjustRightInd w:val="0"/>
              <w:snapToGrid w:val="0"/>
              <w:rPr>
                <w:rFonts w:ascii="宋体" w:hAnsi="宋体" w:cs="宋体"/>
                <w:sz w:val="24"/>
                <w:szCs w:val="24"/>
              </w:rPr>
            </w:pPr>
            <w:r>
              <w:rPr>
                <w:rFonts w:hint="eastAsia" w:ascii="宋体" w:hAnsi="宋体" w:cs="宋体"/>
                <w:sz w:val="24"/>
                <w:szCs w:val="24"/>
              </w:rPr>
              <w:t>（2）▲英语一（100分）</w:t>
            </w:r>
          </w:p>
          <w:p>
            <w:pPr>
              <w:adjustRightInd w:val="0"/>
              <w:snapToGrid w:val="0"/>
              <w:rPr>
                <w:rFonts w:hint="eastAsia" w:ascii="宋体" w:hAnsi="宋体" w:cs="宋体"/>
                <w:sz w:val="24"/>
                <w:szCs w:val="24"/>
              </w:rPr>
            </w:pPr>
            <w:r>
              <w:rPr>
                <w:rFonts w:hint="eastAsia" w:ascii="宋体" w:hAnsi="宋体" w:cs="宋体"/>
                <w:sz w:val="24"/>
                <w:szCs w:val="24"/>
              </w:rPr>
              <w:t>（3）▲数学三（150分）</w:t>
            </w:r>
          </w:p>
          <w:p>
            <w:pPr>
              <w:adjustRightInd w:val="0"/>
              <w:snapToGrid w:val="0"/>
              <w:rPr>
                <w:rFonts w:hint="eastAsia" w:ascii="宋体" w:hAnsi="宋体" w:cs="宋体"/>
                <w:sz w:val="24"/>
                <w:szCs w:val="24"/>
              </w:rPr>
            </w:pPr>
            <w:r>
              <w:rPr>
                <w:rFonts w:hint="eastAsia" w:ascii="宋体" w:hAnsi="宋体" w:cs="宋体"/>
                <w:sz w:val="24"/>
                <w:szCs w:val="24"/>
              </w:rPr>
              <w:t>（4）经济学基础（150分）</w:t>
            </w:r>
          </w:p>
        </w:tc>
        <w:tc>
          <w:tcPr>
            <w:tcW w:w="1701" w:type="dxa"/>
            <w:vMerge w:val="restart"/>
            <w:noWrap w:val="0"/>
            <w:vAlign w:val="center"/>
          </w:tcPr>
          <w:p>
            <w:pPr>
              <w:adjustRightInd w:val="0"/>
              <w:snapToGrid w:val="0"/>
              <w:jc w:val="left"/>
              <w:rPr>
                <w:rFonts w:hint="eastAsia" w:ascii="宋体" w:hAnsi="宋体" w:cs="宋体"/>
                <w:sz w:val="24"/>
                <w:szCs w:val="24"/>
              </w:rPr>
            </w:pPr>
            <w:r>
              <w:rPr>
                <w:rFonts w:hint="eastAsia" w:ascii="宋体" w:hAnsi="宋体" w:cs="宋体"/>
                <w:sz w:val="24"/>
                <w:szCs w:val="24"/>
              </w:rPr>
              <w:t>F505-区域经济学（100分）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3" w:hRule="atLeast"/>
        </w:trPr>
        <w:tc>
          <w:tcPr>
            <w:tcW w:w="828" w:type="dxa"/>
            <w:noWrap w:val="0"/>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2</w:t>
            </w:r>
          </w:p>
        </w:tc>
        <w:tc>
          <w:tcPr>
            <w:tcW w:w="3108" w:type="dxa"/>
            <w:noWrap w:val="0"/>
            <w:vAlign w:val="center"/>
          </w:tcPr>
          <w:p>
            <w:pPr>
              <w:adjustRightInd w:val="0"/>
              <w:snapToGrid w:val="0"/>
              <w:rPr>
                <w:rFonts w:hint="eastAsia" w:ascii="宋体" w:hAnsi="宋体" w:cs="宋体"/>
                <w:sz w:val="24"/>
                <w:szCs w:val="24"/>
              </w:rPr>
            </w:pPr>
            <w:r>
              <w:rPr>
                <w:rFonts w:hint="eastAsia" w:ascii="宋体" w:hAnsi="宋体" w:cs="宋体"/>
                <w:sz w:val="24"/>
                <w:szCs w:val="24"/>
              </w:rPr>
              <w:t>城市化与城镇体系</w:t>
            </w:r>
          </w:p>
        </w:tc>
        <w:tc>
          <w:tcPr>
            <w:tcW w:w="3118" w:type="dxa"/>
            <w:vMerge w:val="continue"/>
            <w:noWrap w:val="0"/>
            <w:vAlign w:val="center"/>
          </w:tcPr>
          <w:p>
            <w:pPr>
              <w:adjustRightInd w:val="0"/>
              <w:snapToGrid w:val="0"/>
              <w:jc w:val="center"/>
              <w:rPr>
                <w:rFonts w:hint="eastAsia" w:ascii="宋体" w:hAnsi="宋体" w:cs="宋体"/>
                <w:sz w:val="24"/>
                <w:szCs w:val="24"/>
              </w:rPr>
            </w:pPr>
          </w:p>
        </w:tc>
        <w:tc>
          <w:tcPr>
            <w:tcW w:w="1701" w:type="dxa"/>
            <w:vMerge w:val="continue"/>
            <w:noWrap w:val="0"/>
            <w:vAlign w:val="center"/>
          </w:tcPr>
          <w:p>
            <w:pPr>
              <w:adjustRightInd w:val="0"/>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3" w:hRule="atLeast"/>
        </w:trPr>
        <w:tc>
          <w:tcPr>
            <w:tcW w:w="828" w:type="dxa"/>
            <w:noWrap w:val="0"/>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3</w:t>
            </w:r>
          </w:p>
        </w:tc>
        <w:tc>
          <w:tcPr>
            <w:tcW w:w="3108" w:type="dxa"/>
            <w:noWrap w:val="0"/>
            <w:vAlign w:val="center"/>
          </w:tcPr>
          <w:p>
            <w:pPr>
              <w:adjustRightInd w:val="0"/>
              <w:snapToGrid w:val="0"/>
              <w:rPr>
                <w:rFonts w:hint="eastAsia" w:ascii="宋体" w:hAnsi="宋体" w:cs="宋体"/>
                <w:sz w:val="24"/>
                <w:szCs w:val="24"/>
              </w:rPr>
            </w:pPr>
            <w:r>
              <w:rPr>
                <w:rFonts w:hint="eastAsia" w:ascii="宋体" w:hAnsi="宋体" w:cs="宋体"/>
                <w:sz w:val="24"/>
                <w:szCs w:val="24"/>
              </w:rPr>
              <w:t>数字化城市与区域创新治理</w:t>
            </w:r>
          </w:p>
        </w:tc>
        <w:tc>
          <w:tcPr>
            <w:tcW w:w="3118" w:type="dxa"/>
            <w:vMerge w:val="continue"/>
            <w:noWrap w:val="0"/>
            <w:vAlign w:val="center"/>
          </w:tcPr>
          <w:p>
            <w:pPr>
              <w:adjustRightInd w:val="0"/>
              <w:snapToGrid w:val="0"/>
              <w:jc w:val="center"/>
              <w:rPr>
                <w:rFonts w:hint="eastAsia" w:ascii="宋体" w:hAnsi="宋体" w:cs="宋体"/>
                <w:sz w:val="24"/>
                <w:szCs w:val="24"/>
              </w:rPr>
            </w:pPr>
          </w:p>
        </w:tc>
        <w:tc>
          <w:tcPr>
            <w:tcW w:w="1701" w:type="dxa"/>
            <w:vMerge w:val="continue"/>
            <w:noWrap w:val="0"/>
            <w:vAlign w:val="center"/>
          </w:tcPr>
          <w:p>
            <w:pPr>
              <w:adjustRightInd w:val="0"/>
              <w:snapToGrid w:val="0"/>
              <w:jc w:val="center"/>
              <w:rPr>
                <w:rFonts w:hint="eastAsia" w:ascii="宋体" w:hAnsi="宋体" w:cs="宋体"/>
                <w:sz w:val="24"/>
                <w:szCs w:val="24"/>
              </w:rPr>
            </w:pPr>
          </w:p>
        </w:tc>
      </w:tr>
    </w:tbl>
    <w:p>
      <w:pPr>
        <w:adjustRightInd w:val="0"/>
        <w:snapToGrid w:val="0"/>
        <w:rPr>
          <w:rFonts w:hint="eastAsia" w:ascii="宋体" w:hAnsi="宋体" w:cs="宋体"/>
          <w:b/>
          <w:sz w:val="24"/>
          <w:szCs w:val="24"/>
        </w:rPr>
      </w:pPr>
      <w:r>
        <w:rPr>
          <w:rFonts w:hint="eastAsia" w:ascii="宋体" w:hAnsi="宋体" w:cs="宋体"/>
          <w:sz w:val="24"/>
          <w:szCs w:val="24"/>
        </w:rPr>
        <w:t>▲</w:t>
      </w:r>
      <w:r>
        <w:rPr>
          <w:rFonts w:hint="eastAsia" w:ascii="宋体" w:hAnsi="宋体" w:cs="宋体"/>
          <w:b/>
          <w:sz w:val="24"/>
          <w:szCs w:val="24"/>
        </w:rPr>
        <w:t>表示统考科目或联考科目，考试题型、考试大纲以教育部公布为准。其他为自命题科目。</w:t>
      </w:r>
    </w:p>
    <w:p>
      <w:pPr>
        <w:adjustRightInd w:val="0"/>
        <w:snapToGrid w:val="0"/>
        <w:rPr>
          <w:rFonts w:hint="eastAsia" w:ascii="宋体" w:hAnsi="宋体" w:cs="宋体"/>
          <w:b/>
          <w:sz w:val="24"/>
          <w:szCs w:val="24"/>
        </w:rPr>
      </w:pPr>
    </w:p>
    <w:p>
      <w:pPr>
        <w:adjustRightInd w:val="0"/>
        <w:snapToGrid w:val="0"/>
        <w:rPr>
          <w:rFonts w:hint="eastAsia" w:ascii="宋体" w:hAnsi="宋体" w:cs="宋体"/>
          <w:b/>
          <w:sz w:val="24"/>
          <w:szCs w:val="24"/>
        </w:rPr>
      </w:pPr>
      <w:r>
        <w:rPr>
          <w:rFonts w:hint="eastAsia" w:ascii="宋体" w:hAnsi="宋体" w:cs="宋体"/>
          <w:b/>
          <w:sz w:val="24"/>
          <w:szCs w:val="24"/>
        </w:rPr>
        <w:t>考试题型及相应分值：</w:t>
      </w:r>
    </w:p>
    <w:p>
      <w:pPr>
        <w:adjustRightInd w:val="0"/>
        <w:snapToGrid w:val="0"/>
        <w:jc w:val="left"/>
        <w:rPr>
          <w:rFonts w:hint="eastAsia" w:ascii="宋体" w:hAnsi="宋体" w:cs="宋体"/>
          <w:b/>
          <w:sz w:val="24"/>
          <w:szCs w:val="24"/>
        </w:rPr>
      </w:pPr>
      <w:r>
        <w:rPr>
          <w:rFonts w:hint="eastAsia" w:ascii="宋体" w:hAnsi="宋体" w:cs="宋体"/>
          <w:b/>
          <w:sz w:val="24"/>
          <w:szCs w:val="24"/>
        </w:rPr>
        <w:t>《经济学基础》</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（1）名词解释（6题，每题5分，共30分）</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（2）简答题（6题，每题10分，共60分）</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（3）论述题（2题，每题30分，共60分）</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参考书目：高鸿业：《西方经济学(宏/微观)》第7版 ，中国人民大学出版社2018年</w:t>
      </w:r>
    </w:p>
    <w:p>
      <w:pPr>
        <w:adjustRightInd w:val="0"/>
        <w:snapToGrid w:val="0"/>
        <w:rPr>
          <w:rFonts w:hint="eastAsia" w:ascii="宋体" w:hAnsi="宋体" w:cs="宋体"/>
          <w:b/>
          <w:sz w:val="24"/>
          <w:szCs w:val="24"/>
        </w:rPr>
      </w:pPr>
      <w:r>
        <w:rPr>
          <w:rFonts w:hint="eastAsia" w:ascii="宋体" w:hAnsi="宋体" w:cs="宋体"/>
          <w:b/>
          <w:sz w:val="24"/>
          <w:szCs w:val="24"/>
        </w:rPr>
        <w:t>《区域经济学》</w:t>
      </w:r>
    </w:p>
    <w:p>
      <w:pPr>
        <w:adjustRightInd w:val="0"/>
        <w:snapToGrid w:val="0"/>
        <w:jc w:val="left"/>
        <w:rPr>
          <w:rFonts w:hint="eastAsia" w:ascii="宋体" w:hAnsi="宋体" w:cs="宋体"/>
          <w:sz w:val="24"/>
          <w:szCs w:val="24"/>
        </w:rPr>
      </w:pPr>
      <w:r>
        <w:rPr>
          <w:rFonts w:hint="eastAsia" w:ascii="宋体" w:hAnsi="宋体" w:cs="宋体"/>
          <w:sz w:val="24"/>
          <w:szCs w:val="24"/>
        </w:rPr>
        <w:t>（1）问答题（6题，每题10分，共60分）</w:t>
      </w:r>
    </w:p>
    <w:p>
      <w:pPr>
        <w:adjustRightInd w:val="0"/>
        <w:snapToGrid w:val="0"/>
        <w:jc w:val="left"/>
        <w:rPr>
          <w:rFonts w:hint="eastAsia" w:ascii="宋体" w:hAnsi="宋体" w:cs="宋体"/>
          <w:sz w:val="24"/>
          <w:szCs w:val="24"/>
        </w:rPr>
      </w:pPr>
      <w:r>
        <w:rPr>
          <w:rFonts w:hint="eastAsia" w:ascii="宋体" w:hAnsi="宋体" w:cs="宋体"/>
          <w:sz w:val="24"/>
          <w:szCs w:val="24"/>
        </w:rPr>
        <w:t>（2）论述题（2题，每题20分，共40分）</w:t>
      </w:r>
    </w:p>
    <w:p>
      <w:pPr>
        <w:adjustRightInd w:val="0"/>
        <w:snapToGrid w:val="0"/>
        <w:rPr>
          <w:rFonts w:hint="eastAsia" w:ascii="宋体" w:hAnsi="宋体" w:cs="宋体"/>
          <w:b/>
          <w:sz w:val="24"/>
          <w:szCs w:val="24"/>
        </w:rPr>
      </w:pPr>
    </w:p>
    <w:p>
      <w:pPr>
        <w:adjustRightInd w:val="0"/>
        <w:snapToGrid w:val="0"/>
        <w:rPr>
          <w:rFonts w:hint="eastAsia" w:ascii="宋体" w:hAnsi="宋体" w:cs="宋体"/>
          <w:b/>
          <w:sz w:val="24"/>
          <w:szCs w:val="24"/>
        </w:rPr>
      </w:pPr>
      <w:r>
        <w:rPr>
          <w:rFonts w:hint="eastAsia" w:ascii="宋体" w:hAnsi="宋体" w:cs="宋体"/>
          <w:b/>
          <w:sz w:val="24"/>
          <w:szCs w:val="24"/>
        </w:rPr>
        <w:t>考试大纲</w:t>
      </w:r>
    </w:p>
    <w:p>
      <w:pPr>
        <w:widowControl/>
        <w:adjustRightInd w:val="0"/>
        <w:snapToGrid w:val="0"/>
        <w:jc w:val="center"/>
        <w:rPr>
          <w:rFonts w:hint="eastAsia" w:ascii="黑体" w:hAnsi="黑体" w:eastAsia="黑体" w:cs="黑体"/>
          <w:bCs/>
          <w:kern w:val="0"/>
          <w:sz w:val="36"/>
          <w:szCs w:val="36"/>
        </w:rPr>
      </w:pPr>
      <w:r>
        <w:rPr>
          <w:rFonts w:hint="eastAsia" w:ascii="黑体" w:hAnsi="黑体" w:eastAsia="黑体" w:cs="黑体"/>
          <w:bCs/>
          <w:kern w:val="0"/>
          <w:sz w:val="36"/>
          <w:szCs w:val="36"/>
        </w:rPr>
        <w:t>《经济学基础》</w:t>
      </w:r>
    </w:p>
    <w:p>
      <w:pPr>
        <w:adjustRightInd w:val="0"/>
        <w:snapToGrid w:val="0"/>
        <w:rPr>
          <w:rFonts w:hint="eastAsia" w:ascii="宋体" w:hAnsi="宋体" w:cs="宋体"/>
          <w:b/>
          <w:kern w:val="0"/>
          <w:sz w:val="24"/>
          <w:szCs w:val="24"/>
        </w:rPr>
      </w:pPr>
      <w:r>
        <w:rPr>
          <w:rFonts w:hint="eastAsia" w:ascii="宋体" w:hAnsi="宋体" w:cs="宋体"/>
          <w:b/>
          <w:kern w:val="0"/>
          <w:sz w:val="24"/>
          <w:szCs w:val="24"/>
        </w:rPr>
        <w:t>《经济学基础》考试大纲概述：</w:t>
      </w:r>
    </w:p>
    <w:p>
      <w:pPr>
        <w:widowControl/>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内容主要包括价格理论，消费者行为理论（效用理论），生产理论，成本理论，竞争市场</w:t>
      </w:r>
      <w:r>
        <w:rPr>
          <w:rFonts w:ascii="宋体" w:hAnsi="宋体" w:cs="宋体"/>
          <w:sz w:val="24"/>
          <w:szCs w:val="24"/>
          <w:shd w:val="clear" w:color="auto" w:fill="FFFFFF"/>
        </w:rPr>
        <w:t>理论，</w:t>
      </w:r>
      <w:r>
        <w:rPr>
          <w:rFonts w:hint="eastAsia" w:ascii="宋体" w:hAnsi="宋体" w:cs="宋体"/>
          <w:sz w:val="24"/>
          <w:szCs w:val="24"/>
          <w:shd w:val="clear" w:color="auto" w:fill="FFFFFF"/>
        </w:rPr>
        <w:t>国民收入决定理论，产品</w:t>
      </w:r>
      <w:r>
        <w:rPr>
          <w:rFonts w:ascii="宋体" w:hAnsi="宋体" w:cs="宋体"/>
          <w:sz w:val="24"/>
          <w:szCs w:val="24"/>
          <w:shd w:val="clear" w:color="auto" w:fill="FFFFFF"/>
        </w:rPr>
        <w:t>与货币市场均衡理论，</w:t>
      </w:r>
      <w:r>
        <w:rPr>
          <w:rFonts w:hint="eastAsia" w:ascii="宋体" w:hAnsi="宋体" w:cs="宋体"/>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pPr>
        <w:widowControl/>
        <w:adjustRightInd w:val="0"/>
        <w:snapToGrid w:val="0"/>
        <w:rPr>
          <w:rFonts w:ascii="宋体" w:hAnsi="宋体" w:cs="宋体"/>
          <w:b/>
          <w:bCs/>
          <w:sz w:val="24"/>
          <w:szCs w:val="24"/>
          <w:shd w:val="clear" w:color="auto" w:fill="FFFFFF"/>
        </w:rPr>
      </w:pPr>
    </w:p>
    <w:p>
      <w:pPr>
        <w:widowControl/>
        <w:adjustRightInd w:val="0"/>
        <w:snapToGrid w:val="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第一部分  微观经济理论</w:t>
      </w:r>
    </w:p>
    <w:p>
      <w:pPr>
        <w:widowControl/>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一、需求、供给与价格理论</w:t>
      </w:r>
    </w:p>
    <w:p>
      <w:pPr>
        <w:numPr>
          <w:ilvl w:val="0"/>
          <w:numId w:val="1"/>
        </w:numPr>
        <w:shd w:val="solid" w:color="FFFFFF" w:fill="auto"/>
        <w:autoSpaceDN w:val="0"/>
        <w:adjustRightInd w:val="0"/>
        <w:snapToGrid w:val="0"/>
        <w:rPr>
          <w:rFonts w:hint="eastAsia" w:ascii="宋体" w:hAnsi="宋体" w:cs="宋体"/>
          <w:spacing w:val="-17"/>
          <w:sz w:val="24"/>
          <w:szCs w:val="24"/>
          <w:shd w:val="clear" w:color="auto" w:fill="FFFFFF"/>
        </w:rPr>
      </w:pPr>
      <w:r>
        <w:rPr>
          <w:rFonts w:hint="eastAsia" w:ascii="宋体" w:hAnsi="宋体" w:cs="宋体"/>
          <w:spacing w:val="-17"/>
          <w:sz w:val="24"/>
          <w:szCs w:val="24"/>
          <w:shd w:val="clear" w:color="auto" w:fill="FFFFFF"/>
        </w:rPr>
        <w:t>需求理论</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pacing w:val="-13"/>
          <w:sz w:val="24"/>
          <w:szCs w:val="24"/>
          <w:shd w:val="clear" w:color="auto" w:fill="FFFFFF"/>
        </w:rPr>
        <w:t xml:space="preserve">     </w:t>
      </w:r>
      <w:r>
        <w:rPr>
          <w:rFonts w:hint="eastAsia" w:ascii="宋体" w:hAnsi="宋体" w:cs="宋体"/>
          <w:sz w:val="24"/>
          <w:szCs w:val="24"/>
          <w:shd w:val="clear" w:color="auto" w:fill="FFFFFF"/>
        </w:rPr>
        <w:t>需求、需求表、需求曲线与需求规律      影响需求的因素：需求函数</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需求定理                              需求量的变动与需求的变动</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供给理论</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pacing w:val="-13"/>
          <w:sz w:val="24"/>
          <w:szCs w:val="24"/>
          <w:shd w:val="clear" w:color="auto" w:fill="FFFFFF"/>
        </w:rPr>
        <w:t xml:space="preserve">    </w:t>
      </w:r>
      <w:r>
        <w:rPr>
          <w:rFonts w:hint="eastAsia" w:ascii="宋体" w:hAnsi="宋体" w:cs="宋体"/>
          <w:sz w:val="24"/>
          <w:szCs w:val="24"/>
          <w:shd w:val="clear" w:color="auto" w:fill="FFFFFF"/>
        </w:rPr>
        <w:t xml:space="preserve"> 供给、供给表、供给曲线                影响供给的因素：供给函数</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供给定理                              供给量的变动与供给的变动</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价格的决定</w:t>
      </w:r>
    </w:p>
    <w:p>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均衡价格含义及形成                    需求与供给变动对均衡的影响</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需求价格弹性</w:t>
      </w:r>
    </w:p>
    <w:p>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需求价格弹性的含义与分类              影响需求弹性的因素</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弹性理论的运用：需求弹性与总收益</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二、消费者行为理论（效用理论）</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效用</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基数效用论与序数效用论     总效用与边际效用      边际效用递减规律</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序数效用论</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无差异曲线及特征           消费可能线（预算线）   消费者均衡</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消费者行为理论的运用</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消费者剩余                    消费者行为与需求定理</w:t>
      </w:r>
    </w:p>
    <w:p>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三、生产理论</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生产要素与生产函数</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边际收益递减规律</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总产量、平均产量、边际产量的关系</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等产量线与等成本线</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规模报酬</w:t>
      </w:r>
    </w:p>
    <w:p>
      <w:pPr>
        <w:shd w:val="solid" w:color="FFFFFF" w:fill="auto"/>
        <w:autoSpaceDN w:val="0"/>
        <w:adjustRightInd w:val="0"/>
        <w:snapToGrid w:val="0"/>
        <w:rPr>
          <w:rFonts w:hint="eastAsia" w:ascii="宋体" w:hAnsi="宋体" w:cs="宋体"/>
          <w:bCs/>
          <w:sz w:val="24"/>
          <w:szCs w:val="24"/>
          <w:shd w:val="clear" w:color="auto" w:fill="FFFFFF"/>
        </w:rPr>
      </w:pPr>
      <w:r>
        <w:rPr>
          <w:rFonts w:hint="eastAsia" w:ascii="宋体" w:hAnsi="宋体" w:cs="宋体"/>
          <w:bCs/>
          <w:sz w:val="24"/>
          <w:szCs w:val="24"/>
          <w:shd w:val="clear" w:color="auto" w:fill="FFFFFF"/>
        </w:rPr>
        <w:t>四、成本与收益理论</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成本</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会计成本与机会成本             机会成本在企业决策中的作用</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短期成本</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短期成本的分类                 各类短期成本的变动规律及其关系</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长期成本</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长期总成本                     长期平均成本          长期边际成本</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收益与利润最大化</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总收益、平均收益与边际收益     利润最大化原则</w:t>
      </w:r>
    </w:p>
    <w:p>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五、竞争市场理论</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市场结构</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市场结构类型                   市场结构与企业行为的关系</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完全竞争市场</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完全竞争市场含义与特征     完全竞争市场需求曲线、平均收益与边际收益</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利润最大化的基本原则       完全竞争市场上的短期均衡与长期均衡</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非完全竞争市场</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完全垄断、垄断竞争和寡头垄断市场的条件及其特征</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完全垄断厂商的需求曲线、平均收益与边际收益</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垄断市场上的短期均衡与长期均衡（了解）</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垄断竞争与完全竞争的比较</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垄断竞争市场上的产品差别竞争    </w:t>
      </w:r>
    </w:p>
    <w:p>
      <w:pPr>
        <w:shd w:val="solid" w:color="FFFFFF" w:fill="auto"/>
        <w:autoSpaceDN w:val="0"/>
        <w:adjustRightInd w:val="0"/>
        <w:snapToGrid w:val="0"/>
        <w:rPr>
          <w:rFonts w:hint="eastAsia" w:ascii="宋体" w:hAnsi="宋体" w:cs="宋体"/>
          <w:b/>
          <w:bCs/>
          <w:sz w:val="24"/>
          <w:szCs w:val="24"/>
          <w:shd w:val="clear" w:color="auto" w:fill="FFFFFF"/>
        </w:rPr>
      </w:pP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第二部分  宏观经济理论</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一、国民收入决定理论</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国内生产总值的含义                       </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国内生产总值的计算方法</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实际国内生产总值与名义国内生产总值      </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国内生产总值与人均国内生产总值</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消费函数、储蓄函数</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乘数理论</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其他宏观经济指标（了解）</w:t>
      </w:r>
    </w:p>
    <w:p>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物价指数                       失业率</w:t>
      </w: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二、产品市场和货币市场的一般均衡理论</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投资的决定</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实际利率与投资                  边际效率</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投资边际效率曲线                预期收益与投资</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商品市场的均衡（IS）曲线</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货币市场的均衡（LM）曲线</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利率的决定</w:t>
      </w:r>
    </w:p>
    <w:p>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 xml:space="preserve">三、宏观经济政策分析 </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财政政策和货币政策的影响</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                         货币政策</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财政政策和货币政策的影响         财政政策和货币政策的混合使用</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经济政策目标</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充分就业                         价格稳定 </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经济持续均衡增长                 国际收支平衡。</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财政政策工具                     自动稳定与相机抉择的财政政策</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功能财政和预算盈余               充分就业预算盈余与财政政策方向</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货币政策</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商业银行和中央银行               存款创造和货币供给</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债券价格与市场利息率的关系       货币政策及其工具</w:t>
      </w:r>
    </w:p>
    <w:p>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四、失业、通货膨胀理论</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失业理论</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失业的分类                       自然失业率和自然就业率  </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失业的影响                       奥肯定律</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通货膨胀理论</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通货膨胀的含义与分类             通货膨胀对经济的影响  </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通货膨胀的原因                   需求拉动的通货膨胀理论    </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供给推动的通货膨胀理论           其他通货膨胀理论</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治理通货膨胀的对策</w:t>
      </w:r>
    </w:p>
    <w:p>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菲利普斯曲线</w:t>
      </w:r>
    </w:p>
    <w:p>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菲利普斯曲线的提出               菲利普斯曲线的政策含义</w:t>
      </w:r>
    </w:p>
    <w:p>
      <w:pPr>
        <w:adjustRightInd w:val="0"/>
        <w:snapToGrid w:val="0"/>
        <w:rPr>
          <w:rFonts w:hint="eastAsia" w:ascii="宋体" w:hAnsi="宋体"/>
          <w:sz w:val="24"/>
          <w:szCs w:val="24"/>
        </w:rPr>
      </w:pPr>
    </w:p>
    <w:p>
      <w:pPr>
        <w:pStyle w:val="6"/>
        <w:adjustRightInd w:val="0"/>
        <w:snapToGrid w:val="0"/>
        <w:spacing w:before="0" w:beforeAutospacing="0" w:after="0" w:afterAutospacing="0"/>
        <w:jc w:val="center"/>
        <w:rPr>
          <w:rFonts w:hint="eastAsia" w:ascii="黑体" w:hAnsi="黑体" w:eastAsia="黑体" w:cs="黑体"/>
          <w:sz w:val="32"/>
          <w:szCs w:val="32"/>
        </w:rPr>
      </w:pPr>
      <w:r>
        <w:rPr>
          <w:rFonts w:hint="eastAsia" w:ascii="黑体" w:hAnsi="黑体" w:eastAsia="黑体" w:cs="黑体"/>
          <w:sz w:val="32"/>
          <w:szCs w:val="32"/>
        </w:rPr>
        <w:t>《区域经济学》</w:t>
      </w:r>
    </w:p>
    <w:p>
      <w:pPr>
        <w:adjustRightInd w:val="0"/>
        <w:snapToGrid w:val="0"/>
        <w:rPr>
          <w:rFonts w:hint="eastAsia" w:ascii="宋体" w:hAnsi="宋体" w:cs="宋体"/>
          <w:b/>
          <w:kern w:val="0"/>
          <w:sz w:val="24"/>
          <w:szCs w:val="24"/>
        </w:rPr>
      </w:pPr>
      <w:r>
        <w:rPr>
          <w:rFonts w:hint="eastAsia" w:ascii="宋体" w:hAnsi="宋体" w:cs="宋体"/>
          <w:b/>
          <w:kern w:val="0"/>
          <w:sz w:val="24"/>
          <w:szCs w:val="24"/>
        </w:rPr>
        <w:t>《区域经济学》考试大纲概述：</w:t>
      </w:r>
    </w:p>
    <w:p>
      <w:pPr>
        <w:adjustRightInd w:val="0"/>
        <w:snapToGrid w:val="0"/>
        <w:ind w:firstLine="480" w:firstLineChars="200"/>
        <w:rPr>
          <w:rFonts w:hint="eastAsia" w:ascii="宋体" w:hAnsi="宋体" w:cs="宋体"/>
          <w:b/>
          <w:sz w:val="24"/>
          <w:szCs w:val="24"/>
        </w:rPr>
      </w:pPr>
      <w:r>
        <w:rPr>
          <w:rFonts w:hint="eastAsia" w:ascii="宋体" w:hAnsi="宋体" w:cs="宋体"/>
          <w:sz w:val="24"/>
          <w:szCs w:val="24"/>
        </w:rPr>
        <w:t>考察学生对区域经济学所涉及的基本概念、原理、框架、方法；了解区域经济学的学科关联；能利用区域经济学基本分析框架和原理，对我国经济发展中所出现的区域经济现象进行简要分析。</w:t>
      </w:r>
    </w:p>
    <w:p>
      <w:pPr>
        <w:adjustRightInd w:val="0"/>
        <w:snapToGrid w:val="0"/>
        <w:ind w:firstLine="482" w:firstLineChars="200"/>
        <w:rPr>
          <w:rFonts w:hint="eastAsia" w:ascii="宋体" w:hAnsi="宋体" w:cs="宋体"/>
          <w:b/>
          <w:sz w:val="24"/>
          <w:szCs w:val="24"/>
        </w:rPr>
      </w:pPr>
      <w:r>
        <w:rPr>
          <w:rFonts w:hint="eastAsia" w:ascii="宋体" w:hAnsi="宋体" w:cs="宋体"/>
          <w:b/>
          <w:sz w:val="24"/>
          <w:szCs w:val="24"/>
        </w:rPr>
        <w:t>第一部分 基本概念</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经济区与行政区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结节区、匀质区、流域区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运输费用和空间联系成本</w:t>
      </w:r>
    </w:p>
    <w:p>
      <w:pPr>
        <w:pStyle w:val="6"/>
        <w:adjustRightInd w:val="0"/>
        <w:snapToGrid w:val="0"/>
        <w:spacing w:before="0" w:beforeAutospacing="0" w:after="0" w:afterAutospacing="0"/>
        <w:ind w:firstLine="482" w:firstLineChars="200"/>
        <w:rPr>
          <w:rFonts w:hint="eastAsia"/>
          <w:b/>
        </w:rPr>
      </w:pPr>
      <w:r>
        <w:rPr>
          <w:rFonts w:hint="eastAsia"/>
          <w:b/>
        </w:rPr>
        <w:t>第二部分 区位论和产业空间特征</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杜能和阿伦索的圈层理论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韦伯工业区位论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廖什中心地理论</w:t>
      </w:r>
    </w:p>
    <w:p>
      <w:pPr>
        <w:pStyle w:val="6"/>
        <w:adjustRightInd w:val="0"/>
        <w:snapToGrid w:val="0"/>
        <w:spacing w:before="0" w:beforeAutospacing="0" w:after="0" w:afterAutospacing="0"/>
        <w:ind w:firstLine="482" w:firstLineChars="200"/>
        <w:rPr>
          <w:rFonts w:hint="eastAsia"/>
          <w:b/>
        </w:rPr>
      </w:pPr>
      <w:r>
        <w:rPr>
          <w:rFonts w:hint="eastAsia"/>
          <w:b/>
        </w:rPr>
        <w:t>第三部分 产业集群</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产业集群概念与特征</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前苏联地域生产综合体</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波特竞争优势理论</w:t>
      </w:r>
    </w:p>
    <w:p>
      <w:pPr>
        <w:pStyle w:val="6"/>
        <w:adjustRightInd w:val="0"/>
        <w:snapToGrid w:val="0"/>
        <w:spacing w:before="0" w:beforeAutospacing="0" w:after="0" w:afterAutospacing="0"/>
        <w:ind w:firstLine="482" w:firstLineChars="200"/>
        <w:rPr>
          <w:rFonts w:hint="eastAsia"/>
          <w:b/>
        </w:rPr>
      </w:pPr>
      <w:r>
        <w:rPr>
          <w:rFonts w:hint="eastAsia"/>
          <w:b/>
        </w:rPr>
        <w:t>第四部分 区域经济增长</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输出基础理论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经济增长源泉分析</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缪尔达尔循环累积因果理论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佩鲁增长极理论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梯度理论和点轴开发理论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区域经济增长收敛</w:t>
      </w:r>
    </w:p>
    <w:p>
      <w:pPr>
        <w:pStyle w:val="6"/>
        <w:adjustRightInd w:val="0"/>
        <w:snapToGrid w:val="0"/>
        <w:spacing w:before="0" w:beforeAutospacing="0" w:after="0" w:afterAutospacing="0"/>
        <w:ind w:firstLine="482" w:firstLineChars="200"/>
        <w:rPr>
          <w:rFonts w:hint="eastAsia"/>
          <w:b/>
        </w:rPr>
      </w:pPr>
      <w:r>
        <w:rPr>
          <w:rFonts w:hint="eastAsia"/>
          <w:b/>
        </w:rPr>
        <w:t>第五部分 区域可持续发展</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马尔萨斯人口增长陷阱</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可持续发展</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自然资本</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碳汇交易与循环经济</w:t>
      </w:r>
    </w:p>
    <w:p>
      <w:pPr>
        <w:pStyle w:val="6"/>
        <w:adjustRightInd w:val="0"/>
        <w:snapToGrid w:val="0"/>
        <w:spacing w:before="0" w:beforeAutospacing="0" w:after="0" w:afterAutospacing="0"/>
        <w:ind w:firstLine="482" w:firstLineChars="200"/>
        <w:rPr>
          <w:rFonts w:hint="eastAsia"/>
          <w:b/>
        </w:rPr>
      </w:pPr>
      <w:r>
        <w:rPr>
          <w:rFonts w:hint="eastAsia"/>
          <w:b/>
        </w:rPr>
        <w:t>第六部分 区域贸易与联系</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国际经济与区域经济之间的异同</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赫克歇尔-俄林-萨缪尔森的比较优势理论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生命周期理论和雁行模式</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邓宁的国际投资理论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国际一体化</w:t>
      </w:r>
    </w:p>
    <w:p>
      <w:pPr>
        <w:pStyle w:val="6"/>
        <w:adjustRightInd w:val="0"/>
        <w:snapToGrid w:val="0"/>
        <w:spacing w:before="0" w:beforeAutospacing="0" w:after="0" w:afterAutospacing="0"/>
        <w:ind w:firstLine="482" w:firstLineChars="200"/>
        <w:rPr>
          <w:rFonts w:hint="eastAsia"/>
          <w:b/>
        </w:rPr>
      </w:pPr>
      <w:r>
        <w:rPr>
          <w:rFonts w:hint="eastAsia"/>
          <w:b/>
        </w:rPr>
        <w:t>第七部分 城市化和城镇体系</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罗斯托经济发展阶段之起飞</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人口流动理论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贫困区</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城市化模式选择</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城市群与大都会区</w:t>
      </w:r>
    </w:p>
    <w:p>
      <w:pPr>
        <w:pStyle w:val="6"/>
        <w:adjustRightInd w:val="0"/>
        <w:snapToGrid w:val="0"/>
        <w:spacing w:before="0" w:beforeAutospacing="0" w:after="0" w:afterAutospacing="0"/>
        <w:ind w:firstLine="482" w:firstLineChars="200"/>
        <w:rPr>
          <w:rFonts w:hint="eastAsia"/>
          <w:b/>
        </w:rPr>
      </w:pPr>
      <w:r>
        <w:rPr>
          <w:rFonts w:hint="eastAsia"/>
          <w:b/>
        </w:rPr>
        <w:t>第八部分 公共产品与地区财政</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公共产品与外部性</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萨缪尔森公共品供应与布坎南俱乐部</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蒂伯特模型与财政联邦主义</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区域经济协调</w:t>
      </w:r>
    </w:p>
    <w:p>
      <w:pPr>
        <w:pStyle w:val="6"/>
        <w:adjustRightInd w:val="0"/>
        <w:snapToGrid w:val="0"/>
        <w:spacing w:before="0" w:beforeAutospacing="0" w:after="0" w:afterAutospacing="0"/>
        <w:ind w:firstLine="482" w:firstLineChars="200"/>
        <w:rPr>
          <w:rFonts w:hint="eastAsia"/>
          <w:b/>
        </w:rPr>
      </w:pPr>
      <w:r>
        <w:rPr>
          <w:rFonts w:hint="eastAsia"/>
          <w:b/>
        </w:rPr>
        <w:t>第九部分 区域经济政策</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区域经济政策工具</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区位商与主导产业选择</w:t>
      </w:r>
    </w:p>
    <w:p>
      <w:pPr>
        <w:pStyle w:val="6"/>
        <w:numPr>
          <w:ilvl w:val="0"/>
          <w:numId w:val="3"/>
        </w:numPr>
        <w:adjustRightInd w:val="0"/>
        <w:snapToGrid w:val="0"/>
        <w:spacing w:before="0" w:beforeAutospacing="0" w:after="0" w:afterAutospacing="0"/>
        <w:ind w:firstLine="480" w:firstLineChars="200"/>
        <w:rPr>
          <w:rFonts w:hint="eastAsia"/>
        </w:rPr>
      </w:pPr>
      <w:r>
        <w:rPr>
          <w:rFonts w:hint="eastAsia"/>
        </w:rPr>
        <w:t>建国后区域经济政策实践</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1F81"/>
    <w:multiLevelType w:val="multilevel"/>
    <w:tmpl w:val="08AA1F81"/>
    <w:lvl w:ilvl="0" w:tentative="0">
      <w:start w:val="1"/>
      <w:numFmt w:val="bullet"/>
      <w:lvlText w:val=""/>
      <w:lvlJc w:val="left"/>
      <w:pPr>
        <w:tabs>
          <w:tab w:val="left" w:pos="357"/>
        </w:tabs>
        <w:ind w:left="0" w:firstLine="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6D"/>
    <w:rsid w:val="0001407D"/>
    <w:rsid w:val="000175B6"/>
    <w:rsid w:val="00026FBC"/>
    <w:rsid w:val="00031CB2"/>
    <w:rsid w:val="0003635A"/>
    <w:rsid w:val="00061400"/>
    <w:rsid w:val="00074BB2"/>
    <w:rsid w:val="000A1311"/>
    <w:rsid w:val="000C56BC"/>
    <w:rsid w:val="000D78D9"/>
    <w:rsid w:val="000E2595"/>
    <w:rsid w:val="000E6684"/>
    <w:rsid w:val="000F7A68"/>
    <w:rsid w:val="0010072F"/>
    <w:rsid w:val="00121D71"/>
    <w:rsid w:val="001427C8"/>
    <w:rsid w:val="001578B9"/>
    <w:rsid w:val="00160B8E"/>
    <w:rsid w:val="0016592F"/>
    <w:rsid w:val="0016650F"/>
    <w:rsid w:val="0017057B"/>
    <w:rsid w:val="00176D8C"/>
    <w:rsid w:val="001B2943"/>
    <w:rsid w:val="001B38D9"/>
    <w:rsid w:val="001B5C9A"/>
    <w:rsid w:val="001D74D4"/>
    <w:rsid w:val="001F4F33"/>
    <w:rsid w:val="00210666"/>
    <w:rsid w:val="002118B7"/>
    <w:rsid w:val="00213948"/>
    <w:rsid w:val="002236F8"/>
    <w:rsid w:val="00224109"/>
    <w:rsid w:val="002262EF"/>
    <w:rsid w:val="00233A06"/>
    <w:rsid w:val="00235323"/>
    <w:rsid w:val="002360E4"/>
    <w:rsid w:val="00236D79"/>
    <w:rsid w:val="00247C69"/>
    <w:rsid w:val="002533B1"/>
    <w:rsid w:val="002564B0"/>
    <w:rsid w:val="00266B1F"/>
    <w:rsid w:val="002741A2"/>
    <w:rsid w:val="00282640"/>
    <w:rsid w:val="00283647"/>
    <w:rsid w:val="002A57C5"/>
    <w:rsid w:val="002D0DAE"/>
    <w:rsid w:val="002D34FF"/>
    <w:rsid w:val="002D6C3C"/>
    <w:rsid w:val="00347809"/>
    <w:rsid w:val="00350471"/>
    <w:rsid w:val="0037778A"/>
    <w:rsid w:val="00377C88"/>
    <w:rsid w:val="0039335F"/>
    <w:rsid w:val="003A1A45"/>
    <w:rsid w:val="003A6268"/>
    <w:rsid w:val="003B1721"/>
    <w:rsid w:val="003C2560"/>
    <w:rsid w:val="003C454D"/>
    <w:rsid w:val="003D4DCC"/>
    <w:rsid w:val="004039A4"/>
    <w:rsid w:val="00413921"/>
    <w:rsid w:val="00422E2F"/>
    <w:rsid w:val="0044350B"/>
    <w:rsid w:val="00481674"/>
    <w:rsid w:val="00482347"/>
    <w:rsid w:val="00495EF7"/>
    <w:rsid w:val="004A2584"/>
    <w:rsid w:val="004A5E2A"/>
    <w:rsid w:val="004B4417"/>
    <w:rsid w:val="004B60B6"/>
    <w:rsid w:val="004C48FB"/>
    <w:rsid w:val="004C49CF"/>
    <w:rsid w:val="004C5D0A"/>
    <w:rsid w:val="004C66A0"/>
    <w:rsid w:val="004D0F05"/>
    <w:rsid w:val="004D16FF"/>
    <w:rsid w:val="004E3545"/>
    <w:rsid w:val="004E4292"/>
    <w:rsid w:val="004F6114"/>
    <w:rsid w:val="0050340B"/>
    <w:rsid w:val="00546F61"/>
    <w:rsid w:val="005538DC"/>
    <w:rsid w:val="00560149"/>
    <w:rsid w:val="005666FD"/>
    <w:rsid w:val="005739E8"/>
    <w:rsid w:val="0059748E"/>
    <w:rsid w:val="00597E9D"/>
    <w:rsid w:val="005A5D88"/>
    <w:rsid w:val="005B71E7"/>
    <w:rsid w:val="005C265C"/>
    <w:rsid w:val="005C31A4"/>
    <w:rsid w:val="005E619C"/>
    <w:rsid w:val="005F2F30"/>
    <w:rsid w:val="006157C8"/>
    <w:rsid w:val="00636C88"/>
    <w:rsid w:val="00642B58"/>
    <w:rsid w:val="00656C85"/>
    <w:rsid w:val="006651E7"/>
    <w:rsid w:val="00676019"/>
    <w:rsid w:val="006814FA"/>
    <w:rsid w:val="006835E1"/>
    <w:rsid w:val="006A63C9"/>
    <w:rsid w:val="006A7A29"/>
    <w:rsid w:val="006B331C"/>
    <w:rsid w:val="006B3375"/>
    <w:rsid w:val="006C204A"/>
    <w:rsid w:val="006D3D59"/>
    <w:rsid w:val="006D7DFB"/>
    <w:rsid w:val="006E5751"/>
    <w:rsid w:val="006F2476"/>
    <w:rsid w:val="00702FDE"/>
    <w:rsid w:val="00713EEA"/>
    <w:rsid w:val="007232CA"/>
    <w:rsid w:val="0073162D"/>
    <w:rsid w:val="007373AF"/>
    <w:rsid w:val="00737C7C"/>
    <w:rsid w:val="00742604"/>
    <w:rsid w:val="00743456"/>
    <w:rsid w:val="007462EA"/>
    <w:rsid w:val="00756C08"/>
    <w:rsid w:val="007858FC"/>
    <w:rsid w:val="007A743B"/>
    <w:rsid w:val="007B4523"/>
    <w:rsid w:val="007B4BE5"/>
    <w:rsid w:val="007B6F3E"/>
    <w:rsid w:val="007E78DC"/>
    <w:rsid w:val="007F5D94"/>
    <w:rsid w:val="00802762"/>
    <w:rsid w:val="00811FB9"/>
    <w:rsid w:val="00812C21"/>
    <w:rsid w:val="00813A2B"/>
    <w:rsid w:val="00815FD7"/>
    <w:rsid w:val="00831122"/>
    <w:rsid w:val="0084456A"/>
    <w:rsid w:val="00870512"/>
    <w:rsid w:val="00876241"/>
    <w:rsid w:val="008808E4"/>
    <w:rsid w:val="00884D10"/>
    <w:rsid w:val="00892A02"/>
    <w:rsid w:val="00892CBD"/>
    <w:rsid w:val="0089392B"/>
    <w:rsid w:val="008A380B"/>
    <w:rsid w:val="008C1F51"/>
    <w:rsid w:val="008D0FF3"/>
    <w:rsid w:val="008D3B5E"/>
    <w:rsid w:val="008E27F1"/>
    <w:rsid w:val="008F4CB7"/>
    <w:rsid w:val="00902D8E"/>
    <w:rsid w:val="009069C5"/>
    <w:rsid w:val="0092597B"/>
    <w:rsid w:val="00926786"/>
    <w:rsid w:val="00931308"/>
    <w:rsid w:val="009533A1"/>
    <w:rsid w:val="0095750F"/>
    <w:rsid w:val="009631C6"/>
    <w:rsid w:val="00971D78"/>
    <w:rsid w:val="00977F6F"/>
    <w:rsid w:val="00983C03"/>
    <w:rsid w:val="00997F70"/>
    <w:rsid w:val="009A0C86"/>
    <w:rsid w:val="009A1058"/>
    <w:rsid w:val="009A5B6F"/>
    <w:rsid w:val="009D740A"/>
    <w:rsid w:val="00A04DC2"/>
    <w:rsid w:val="00A104E1"/>
    <w:rsid w:val="00A340D7"/>
    <w:rsid w:val="00A34641"/>
    <w:rsid w:val="00A3688E"/>
    <w:rsid w:val="00A44424"/>
    <w:rsid w:val="00A45489"/>
    <w:rsid w:val="00A53204"/>
    <w:rsid w:val="00A53306"/>
    <w:rsid w:val="00A57D1A"/>
    <w:rsid w:val="00A76A3E"/>
    <w:rsid w:val="00AA357D"/>
    <w:rsid w:val="00AA4D6F"/>
    <w:rsid w:val="00AB0E1B"/>
    <w:rsid w:val="00AC4367"/>
    <w:rsid w:val="00AC77C4"/>
    <w:rsid w:val="00AD00C4"/>
    <w:rsid w:val="00AE007C"/>
    <w:rsid w:val="00AE06BC"/>
    <w:rsid w:val="00AF1936"/>
    <w:rsid w:val="00AF3E42"/>
    <w:rsid w:val="00AF5069"/>
    <w:rsid w:val="00AF7FEC"/>
    <w:rsid w:val="00B013A8"/>
    <w:rsid w:val="00B126CE"/>
    <w:rsid w:val="00B204A5"/>
    <w:rsid w:val="00B5154F"/>
    <w:rsid w:val="00B56159"/>
    <w:rsid w:val="00B839B3"/>
    <w:rsid w:val="00B85F8A"/>
    <w:rsid w:val="00B86F45"/>
    <w:rsid w:val="00B93269"/>
    <w:rsid w:val="00BB5FA7"/>
    <w:rsid w:val="00BC5AF1"/>
    <w:rsid w:val="00BC5FDE"/>
    <w:rsid w:val="00BE0CD3"/>
    <w:rsid w:val="00C02F96"/>
    <w:rsid w:val="00C04C29"/>
    <w:rsid w:val="00C05C26"/>
    <w:rsid w:val="00C20E5C"/>
    <w:rsid w:val="00C226A5"/>
    <w:rsid w:val="00C26D38"/>
    <w:rsid w:val="00C3358D"/>
    <w:rsid w:val="00C42B1C"/>
    <w:rsid w:val="00C55011"/>
    <w:rsid w:val="00C56F0E"/>
    <w:rsid w:val="00C670A5"/>
    <w:rsid w:val="00CB0AC4"/>
    <w:rsid w:val="00CE7495"/>
    <w:rsid w:val="00CF2CD6"/>
    <w:rsid w:val="00CF70EC"/>
    <w:rsid w:val="00D0238F"/>
    <w:rsid w:val="00D10A06"/>
    <w:rsid w:val="00D30796"/>
    <w:rsid w:val="00D31F85"/>
    <w:rsid w:val="00D331E9"/>
    <w:rsid w:val="00D45357"/>
    <w:rsid w:val="00D46998"/>
    <w:rsid w:val="00D53DB7"/>
    <w:rsid w:val="00D80590"/>
    <w:rsid w:val="00D9498B"/>
    <w:rsid w:val="00DB2EFB"/>
    <w:rsid w:val="00DB6381"/>
    <w:rsid w:val="00DC4093"/>
    <w:rsid w:val="00DD1157"/>
    <w:rsid w:val="00DD3B21"/>
    <w:rsid w:val="00DE0624"/>
    <w:rsid w:val="00DF0249"/>
    <w:rsid w:val="00E02722"/>
    <w:rsid w:val="00E029F0"/>
    <w:rsid w:val="00E05353"/>
    <w:rsid w:val="00E06E4F"/>
    <w:rsid w:val="00E15198"/>
    <w:rsid w:val="00E179BA"/>
    <w:rsid w:val="00E227AC"/>
    <w:rsid w:val="00E34ED4"/>
    <w:rsid w:val="00E50452"/>
    <w:rsid w:val="00E55262"/>
    <w:rsid w:val="00E57904"/>
    <w:rsid w:val="00E61E14"/>
    <w:rsid w:val="00E66EDD"/>
    <w:rsid w:val="00E778C1"/>
    <w:rsid w:val="00E82482"/>
    <w:rsid w:val="00E9436B"/>
    <w:rsid w:val="00E94B07"/>
    <w:rsid w:val="00EA505E"/>
    <w:rsid w:val="00EB1FFE"/>
    <w:rsid w:val="00ED4DE7"/>
    <w:rsid w:val="00ED5B3E"/>
    <w:rsid w:val="00ED5EAC"/>
    <w:rsid w:val="00ED6BE8"/>
    <w:rsid w:val="00EF030E"/>
    <w:rsid w:val="00EF6D5B"/>
    <w:rsid w:val="00F0157A"/>
    <w:rsid w:val="00F14DC0"/>
    <w:rsid w:val="00F267E7"/>
    <w:rsid w:val="00F27E54"/>
    <w:rsid w:val="00F377C1"/>
    <w:rsid w:val="00F85F4B"/>
    <w:rsid w:val="00F872D1"/>
    <w:rsid w:val="00FB128E"/>
    <w:rsid w:val="00FB5D71"/>
    <w:rsid w:val="00FC4696"/>
    <w:rsid w:val="00FD27FA"/>
    <w:rsid w:val="00FD39B9"/>
    <w:rsid w:val="00FD6753"/>
    <w:rsid w:val="00FE0105"/>
    <w:rsid w:val="00FE2D24"/>
    <w:rsid w:val="00FF77FD"/>
    <w:rsid w:val="01E205FC"/>
    <w:rsid w:val="09A955EB"/>
    <w:rsid w:val="29DD342F"/>
    <w:rsid w:val="312D5330"/>
    <w:rsid w:val="40982D54"/>
    <w:rsid w:val="42421CF4"/>
    <w:rsid w:val="50B95B58"/>
    <w:rsid w:val="5DD34AF0"/>
    <w:rsid w:val="662635A7"/>
    <w:rsid w:val="705864FF"/>
    <w:rsid w:val="78A703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iPriority w:val="0"/>
    <w:rPr>
      <w:b/>
      <w:bCs/>
    </w:rPr>
  </w:style>
  <w:style w:type="character" w:styleId="10">
    <w:name w:val="page number"/>
    <w:basedOn w:val="9"/>
    <w:uiPriority w:val="0"/>
  </w:style>
  <w:style w:type="character" w:styleId="11">
    <w:name w:val="Emphasis"/>
    <w:qFormat/>
    <w:uiPriority w:val="0"/>
    <w:rPr>
      <w:color w:val="CC0000"/>
    </w:rPr>
  </w:style>
  <w:style w:type="character" w:styleId="12">
    <w:name w:val="annotation reference"/>
    <w:basedOn w:val="9"/>
    <w:uiPriority w:val="0"/>
    <w:rPr>
      <w:sz w:val="21"/>
      <w:szCs w:val="21"/>
    </w:rPr>
  </w:style>
  <w:style w:type="character" w:customStyle="1" w:styleId="13">
    <w:name w:val="批注文字 Char"/>
    <w:basedOn w:val="9"/>
    <w:link w:val="2"/>
    <w:uiPriority w:val="0"/>
    <w:rPr>
      <w:kern w:val="2"/>
      <w:sz w:val="21"/>
    </w:rPr>
  </w:style>
  <w:style w:type="character" w:customStyle="1" w:styleId="14">
    <w:name w:val="批注主题 Char"/>
    <w:basedOn w:val="13"/>
    <w:link w:val="7"/>
    <w:uiPriority w:val="0"/>
    <w:rPr>
      <w:b/>
      <w:bCs/>
    </w:rPr>
  </w:style>
  <w:style w:type="paragraph" w:customStyle="1" w:styleId="15">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564</Words>
  <Characters>3221</Characters>
  <Lines>26</Lines>
  <Paragraphs>7</Paragraphs>
  <TotalTime>10</TotalTime>
  <ScaleCrop>false</ScaleCrop>
  <LinksUpToDate>false</LinksUpToDate>
  <CharactersWithSpaces>3778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2016-06-08T06:48:00Z</dcterms:created>
  <dc:creator>admin</dc:creator>
  <cp:lastModifiedBy>~ing</cp:lastModifiedBy>
  <cp:lastPrinted>2013-07-09T03:14:00Z</cp:lastPrinted>
  <dcterms:modified xsi:type="dcterms:W3CDTF">2023-09-18T02:47:57Z</dcterms:modified>
  <dc:title>国民经济学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KSORubyTemplateID">
    <vt:lpwstr>6</vt:lpwstr>
  </property>
  <property fmtid="{D5CDD505-2E9C-101B-9397-08002B2CF9AE}" pid="4" name="ICV">
    <vt:lpwstr>B1D58E3F415C4BD29E4FE9304246222D_13</vt:lpwstr>
  </property>
</Properties>
</file>