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6"/>
        <w:gridCol w:w="669"/>
        <w:gridCol w:w="723"/>
        <w:gridCol w:w="4358"/>
        <w:gridCol w:w="669"/>
        <w:gridCol w:w="575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23" w:type="pct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2037" w:type="pct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203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23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经济与工商管理学院</w:t>
            </w:r>
            <w:bookmarkEnd w:id="0"/>
          </w:p>
        </w:tc>
        <w:tc>
          <w:tcPr>
            <w:tcW w:w="2037" w:type="pct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电话：010-58801847（MBA）、010-58805426（学硕）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联系人：MBA招生老师、邹锐（学硕）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002经济与工商管理学院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351</w:t>
            </w: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020100理论经济学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接收推免生8人左右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01政治经济学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④802微观与宏观经济学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02西方经济学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03世界经济学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04人口、资源与环境经济学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020200应用经济学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接收推免生7人左右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01金融学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④802微观与宏观经济学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02劳动经济学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03国际贸易学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120200工商管理学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01会计学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③303数学（三） ④803管理学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02企业管理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125100工商管理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314</w:t>
            </w: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不接收推荐免试 专业学位 只招收定向生，提前面试，面试申请相关信息请参考</w:t>
            </w: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HYPERLINK "https://mba.bnu.edu.cn/" \t "https://yz.bnu.edu.cn/content/zyml/2024/_blank" </w:instrText>
            </w:r>
            <w:r>
              <w:rPr>
                <w:lang w:val="en-US" w:eastAsia="zh-CN"/>
              </w:rPr>
              <w:fldChar w:fldCharType="separate"/>
            </w:r>
            <w:r>
              <w:t>经济与工商管理学院MBA项目网站</w:t>
            </w:r>
            <w:r>
              <w:rPr>
                <w:lang w:val="en-US" w:eastAsia="zh-CN"/>
              </w:rPr>
              <w:fldChar w:fldCharType="end"/>
            </w:r>
            <w:r>
              <w:rPr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01数字企业管理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①199管理类综合能力 ②204英语（二）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面试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02金融与会计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03管理咨询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04人力资源管理与应用心理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05教育运营与管理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06文化创意产业管理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非全日制</w:t>
            </w:r>
          </w:p>
        </w:tc>
        <w:tc>
          <w:tcPr>
            <w:tcW w:w="25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4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3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203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72E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4CCFF26213194D639B33050BBD94A1E1_11</vt:lpwstr>
  </property>
</Properties>
</file>