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ascii="仿宋" w:hAnsi="仿宋" w:eastAsia="仿宋" w:cs="仿宋"/>
          <w:b/>
          <w:bCs/>
          <w:color w:val="222121"/>
          <w:kern w:val="36"/>
          <w:sz w:val="32"/>
          <w:szCs w:val="32"/>
        </w:rPr>
      </w:pPr>
      <w:r>
        <w:rPr>
          <w:rFonts w:hint="eastAsia" w:ascii="仿宋" w:hAnsi="仿宋" w:eastAsia="仿宋" w:cs="仿宋"/>
          <w:b/>
          <w:bCs/>
          <w:color w:val="222121"/>
          <w:kern w:val="36"/>
          <w:sz w:val="32"/>
          <w:szCs w:val="32"/>
        </w:rPr>
        <w:t>南昌大学人文学院2021年招收攻读硕士学位研究生</w:t>
      </w:r>
    </w:p>
    <w:p>
      <w:pPr>
        <w:widowControl/>
        <w:jc w:val="center"/>
        <w:outlineLvl w:val="1"/>
        <w:rPr>
          <w:rFonts w:ascii="仿宋" w:hAnsi="仿宋" w:eastAsia="仿宋" w:cs="仿宋"/>
          <w:b/>
          <w:bCs/>
          <w:color w:val="222121"/>
          <w:kern w:val="36"/>
          <w:sz w:val="32"/>
          <w:szCs w:val="32"/>
        </w:rPr>
      </w:pPr>
      <w:r>
        <w:rPr>
          <w:rFonts w:hint="eastAsia" w:ascii="仿宋" w:hAnsi="仿宋" w:eastAsia="仿宋" w:cs="仿宋"/>
          <w:b/>
          <w:bCs/>
          <w:color w:val="222121"/>
          <w:kern w:val="36"/>
          <w:sz w:val="32"/>
          <w:szCs w:val="32"/>
        </w:rPr>
        <w:t>调剂复试录取工作实施细则</w:t>
      </w:r>
    </w:p>
    <w:p>
      <w:pPr>
        <w:widowControl/>
        <w:spacing w:line="480" w:lineRule="auto"/>
        <w:ind w:firstLine="480"/>
        <w:jc w:val="left"/>
        <w:rPr>
          <w:rFonts w:ascii="仿宋" w:hAnsi="仿宋" w:eastAsia="仿宋"/>
          <w:b/>
          <w:bCs/>
          <w:color w:val="000000"/>
          <w:spacing w:val="-4"/>
          <w:sz w:val="32"/>
          <w:szCs w:val="32"/>
        </w:rPr>
      </w:pPr>
      <w:r>
        <w:rPr>
          <w:rFonts w:hint="eastAsia" w:ascii="仿宋" w:hAnsi="仿宋" w:eastAsia="仿宋"/>
          <w:b/>
          <w:bCs/>
          <w:color w:val="000000"/>
          <w:spacing w:val="-4"/>
          <w:sz w:val="32"/>
          <w:szCs w:val="32"/>
        </w:rPr>
        <w:t>一、复试比例与招生计划</w:t>
      </w:r>
    </w:p>
    <w:tbl>
      <w:tblPr>
        <w:tblStyle w:val="6"/>
        <w:tblpPr w:leftFromText="180" w:rightFromText="180" w:vertAnchor="text" w:horzAnchor="page" w:tblpX="1875" w:tblpY="1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1433"/>
        <w:gridCol w:w="1267"/>
        <w:gridCol w:w="1750"/>
        <w:gridCol w:w="1467"/>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tcPr>
          <w:p>
            <w:pPr>
              <w:widowControl/>
              <w:spacing w:before="100" w:beforeAutospacing="1" w:after="100" w:afterAutospacing="1" w:line="360" w:lineRule="auto"/>
              <w:jc w:val="center"/>
              <w:rPr>
                <w:rFonts w:ascii="仿宋" w:hAnsi="仿宋" w:eastAsia="仿宋" w:cs="仿宋"/>
                <w:sz w:val="30"/>
                <w:szCs w:val="30"/>
              </w:rPr>
            </w:pPr>
            <w:r>
              <w:rPr>
                <w:rFonts w:hint="eastAsia" w:ascii="仿宋" w:hAnsi="仿宋" w:eastAsia="仿宋" w:cs="仿宋"/>
                <w:sz w:val="30"/>
                <w:szCs w:val="30"/>
              </w:rPr>
              <w:t>专业名称</w:t>
            </w:r>
          </w:p>
        </w:tc>
        <w:tc>
          <w:tcPr>
            <w:tcW w:w="1433" w:type="dxa"/>
            <w:vAlign w:val="center"/>
          </w:tcPr>
          <w:p>
            <w:pPr>
              <w:widowControl/>
              <w:spacing w:before="100" w:beforeAutospacing="1" w:after="100" w:afterAutospacing="1" w:line="360" w:lineRule="auto"/>
              <w:jc w:val="center"/>
              <w:textAlignment w:val="center"/>
              <w:rPr>
                <w:rFonts w:ascii="仿宋" w:hAnsi="仿宋" w:eastAsia="仿宋" w:cs="仿宋"/>
                <w:sz w:val="30"/>
                <w:szCs w:val="30"/>
              </w:rPr>
            </w:pPr>
            <w:r>
              <w:rPr>
                <w:rFonts w:hint="eastAsia" w:ascii="仿宋" w:hAnsi="仿宋" w:eastAsia="仿宋" w:cs="仿宋"/>
                <w:sz w:val="30"/>
                <w:szCs w:val="30"/>
              </w:rPr>
              <w:t>学习方式</w:t>
            </w:r>
          </w:p>
        </w:tc>
        <w:tc>
          <w:tcPr>
            <w:tcW w:w="1267" w:type="dxa"/>
            <w:vAlign w:val="center"/>
          </w:tcPr>
          <w:p>
            <w:pPr>
              <w:widowControl/>
              <w:spacing w:before="100" w:beforeAutospacing="1" w:after="100" w:afterAutospacing="1" w:line="360" w:lineRule="auto"/>
              <w:jc w:val="center"/>
              <w:textAlignment w:val="center"/>
              <w:rPr>
                <w:rFonts w:ascii="仿宋" w:hAnsi="仿宋" w:eastAsia="仿宋" w:cs="仿宋"/>
                <w:sz w:val="30"/>
                <w:szCs w:val="30"/>
              </w:rPr>
            </w:pPr>
            <w:r>
              <w:rPr>
                <w:rFonts w:hint="eastAsia" w:ascii="仿宋" w:hAnsi="仿宋" w:eastAsia="仿宋" w:cs="仿宋"/>
                <w:sz w:val="30"/>
                <w:szCs w:val="30"/>
              </w:rPr>
              <w:t>类型</w:t>
            </w:r>
          </w:p>
        </w:tc>
        <w:tc>
          <w:tcPr>
            <w:tcW w:w="1750" w:type="dxa"/>
            <w:vAlign w:val="center"/>
          </w:tcPr>
          <w:p>
            <w:pPr>
              <w:widowControl/>
              <w:spacing w:before="100" w:beforeAutospacing="1" w:after="100" w:afterAutospacing="1" w:line="360" w:lineRule="auto"/>
              <w:jc w:val="center"/>
              <w:textAlignment w:val="center"/>
              <w:rPr>
                <w:rFonts w:ascii="仿宋" w:hAnsi="仿宋" w:eastAsia="仿宋" w:cs="仿宋"/>
                <w:sz w:val="30"/>
                <w:szCs w:val="30"/>
              </w:rPr>
            </w:pPr>
            <w:r>
              <w:rPr>
                <w:rFonts w:hint="eastAsia" w:ascii="仿宋" w:hAnsi="仿宋" w:eastAsia="仿宋" w:cs="仿宋"/>
                <w:sz w:val="30"/>
                <w:szCs w:val="30"/>
              </w:rPr>
              <w:t>调剂计划</w:t>
            </w:r>
          </w:p>
        </w:tc>
        <w:tc>
          <w:tcPr>
            <w:tcW w:w="1467" w:type="dxa"/>
            <w:vAlign w:val="center"/>
          </w:tcPr>
          <w:p>
            <w:pPr>
              <w:widowControl/>
              <w:spacing w:before="100" w:beforeAutospacing="1" w:after="100" w:afterAutospacing="1" w:line="360" w:lineRule="auto"/>
              <w:jc w:val="center"/>
              <w:textAlignment w:val="center"/>
              <w:rPr>
                <w:rFonts w:ascii="仿宋" w:hAnsi="仿宋" w:eastAsia="仿宋" w:cs="仿宋"/>
                <w:sz w:val="30"/>
                <w:szCs w:val="30"/>
              </w:rPr>
            </w:pPr>
            <w:r>
              <w:rPr>
                <w:rFonts w:hint="eastAsia" w:ascii="仿宋" w:hAnsi="仿宋" w:eastAsia="仿宋" w:cs="仿宋"/>
                <w:sz w:val="30"/>
                <w:szCs w:val="30"/>
              </w:rPr>
              <w:t>调剂比例</w:t>
            </w:r>
          </w:p>
        </w:tc>
        <w:tc>
          <w:tcPr>
            <w:tcW w:w="1040" w:type="dxa"/>
            <w:vAlign w:val="center"/>
          </w:tcPr>
          <w:p>
            <w:pPr>
              <w:widowControl/>
              <w:spacing w:before="100" w:beforeAutospacing="1" w:after="100" w:afterAutospacing="1" w:line="360" w:lineRule="auto"/>
              <w:jc w:val="center"/>
              <w:textAlignment w:val="center"/>
              <w:rPr>
                <w:rFonts w:ascii="仿宋" w:hAnsi="仿宋" w:eastAsia="仿宋" w:cs="仿宋"/>
                <w:sz w:val="30"/>
                <w:szCs w:val="30"/>
              </w:rPr>
            </w:pPr>
            <w:r>
              <w:rPr>
                <w:rFonts w:hint="eastAsia" w:ascii="仿宋" w:hAnsi="仿宋" w:eastAsia="仿宋" w:cs="仿宋"/>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tcPr>
          <w:p>
            <w:pPr>
              <w:widowControl/>
              <w:spacing w:before="100" w:beforeAutospacing="1" w:after="100" w:afterAutospacing="1" w:line="360" w:lineRule="auto"/>
              <w:jc w:val="center"/>
              <w:rPr>
                <w:rFonts w:ascii="仿宋" w:hAnsi="仿宋" w:eastAsia="仿宋" w:cs="仿宋"/>
                <w:sz w:val="30"/>
                <w:szCs w:val="30"/>
              </w:rPr>
            </w:pPr>
            <w:r>
              <w:rPr>
                <w:rFonts w:hint="eastAsia" w:ascii="仿宋" w:hAnsi="仿宋" w:eastAsia="仿宋" w:cs="仿宋"/>
                <w:sz w:val="30"/>
                <w:szCs w:val="30"/>
              </w:rPr>
              <w:t>科学技术哲学</w:t>
            </w:r>
          </w:p>
        </w:tc>
        <w:tc>
          <w:tcPr>
            <w:tcW w:w="1433" w:type="dxa"/>
            <w:vAlign w:val="center"/>
          </w:tcPr>
          <w:p>
            <w:pPr>
              <w:widowControl/>
              <w:spacing w:before="100" w:beforeAutospacing="1" w:after="100" w:afterAutospacing="1" w:line="360" w:lineRule="auto"/>
              <w:jc w:val="center"/>
              <w:rPr>
                <w:rFonts w:ascii="仿宋" w:hAnsi="仿宋" w:eastAsia="仿宋" w:cs="仿宋"/>
                <w:sz w:val="30"/>
                <w:szCs w:val="30"/>
              </w:rPr>
            </w:pPr>
            <w:r>
              <w:rPr>
                <w:rFonts w:hint="eastAsia" w:ascii="仿宋" w:hAnsi="仿宋" w:eastAsia="仿宋" w:cs="仿宋"/>
                <w:sz w:val="30"/>
                <w:szCs w:val="30"/>
              </w:rPr>
              <w:t>全日制</w:t>
            </w:r>
          </w:p>
        </w:tc>
        <w:tc>
          <w:tcPr>
            <w:tcW w:w="1267" w:type="dxa"/>
            <w:vAlign w:val="center"/>
          </w:tcPr>
          <w:p>
            <w:pPr>
              <w:widowControl/>
              <w:spacing w:before="100" w:beforeAutospacing="1" w:after="100" w:afterAutospacing="1" w:line="360" w:lineRule="auto"/>
              <w:jc w:val="center"/>
              <w:rPr>
                <w:rFonts w:ascii="仿宋" w:hAnsi="仿宋" w:eastAsia="仿宋" w:cs="仿宋"/>
                <w:sz w:val="30"/>
                <w:szCs w:val="30"/>
              </w:rPr>
            </w:pPr>
            <w:r>
              <w:rPr>
                <w:rFonts w:hint="eastAsia" w:ascii="仿宋" w:hAnsi="仿宋" w:eastAsia="仿宋" w:cs="仿宋"/>
                <w:sz w:val="30"/>
                <w:szCs w:val="30"/>
              </w:rPr>
              <w:t>学术型</w:t>
            </w:r>
          </w:p>
        </w:tc>
        <w:tc>
          <w:tcPr>
            <w:tcW w:w="1750" w:type="dxa"/>
            <w:vAlign w:val="center"/>
          </w:tcPr>
          <w:p>
            <w:pPr>
              <w:widowControl/>
              <w:spacing w:before="100" w:beforeAutospacing="1" w:after="100" w:afterAutospacing="1" w:line="360" w:lineRule="auto"/>
              <w:jc w:val="center"/>
              <w:rPr>
                <w:rFonts w:ascii="仿宋" w:hAnsi="仿宋" w:eastAsia="仿宋" w:cs="仿宋"/>
                <w:sz w:val="30"/>
                <w:szCs w:val="30"/>
              </w:rPr>
            </w:pPr>
            <w:r>
              <w:rPr>
                <w:rFonts w:hint="eastAsia" w:ascii="仿宋" w:hAnsi="仿宋" w:eastAsia="仿宋" w:cs="仿宋"/>
                <w:sz w:val="30"/>
                <w:szCs w:val="30"/>
              </w:rPr>
              <w:t>3</w:t>
            </w:r>
          </w:p>
        </w:tc>
        <w:tc>
          <w:tcPr>
            <w:tcW w:w="1467" w:type="dxa"/>
            <w:vAlign w:val="center"/>
          </w:tcPr>
          <w:p>
            <w:pPr>
              <w:widowControl/>
              <w:spacing w:before="100" w:beforeAutospacing="1" w:after="100" w:afterAutospacing="1" w:line="360" w:lineRule="auto"/>
              <w:jc w:val="center"/>
              <w:rPr>
                <w:rFonts w:ascii="仿宋" w:hAnsi="仿宋" w:eastAsia="仿宋" w:cs="仿宋"/>
                <w:sz w:val="30"/>
                <w:szCs w:val="30"/>
              </w:rPr>
            </w:pPr>
            <w:r>
              <w:rPr>
                <w:rFonts w:hint="eastAsia" w:ascii="仿宋" w:hAnsi="仿宋" w:eastAsia="仿宋" w:cs="仿宋"/>
                <w:sz w:val="30"/>
                <w:szCs w:val="30"/>
              </w:rPr>
              <w:t>1：1.5</w:t>
            </w:r>
          </w:p>
        </w:tc>
        <w:tc>
          <w:tcPr>
            <w:tcW w:w="1040" w:type="dxa"/>
          </w:tcPr>
          <w:p>
            <w:pPr>
              <w:widowControl/>
              <w:spacing w:before="100" w:beforeAutospacing="1" w:after="100" w:afterAutospacing="1" w:line="360" w:lineRule="auto"/>
              <w:jc w:val="left"/>
              <w:rPr>
                <w:rFonts w:ascii="仿宋" w:hAnsi="仿宋" w:eastAsia="仿宋" w:cs="仿宋"/>
                <w:sz w:val="30"/>
                <w:szCs w:val="30"/>
              </w:rPr>
            </w:pPr>
          </w:p>
        </w:tc>
      </w:tr>
    </w:tbl>
    <w:p>
      <w:r>
        <w:rPr>
          <w:rFonts w:hint="eastAsia"/>
        </w:rPr>
        <w:t xml:space="preserve"> </w:t>
      </w:r>
    </w:p>
    <w:p>
      <w:pPr>
        <w:widowControl/>
        <w:numPr>
          <w:ilvl w:val="0"/>
          <w:numId w:val="1"/>
        </w:numPr>
        <w:spacing w:line="480" w:lineRule="auto"/>
        <w:ind w:firstLine="480"/>
        <w:jc w:val="left"/>
        <w:rPr>
          <w:rFonts w:ascii="仿宋" w:hAnsi="仿宋" w:eastAsia="仿宋"/>
          <w:b/>
          <w:bCs/>
          <w:color w:val="000000"/>
          <w:spacing w:val="-4"/>
          <w:sz w:val="32"/>
          <w:szCs w:val="32"/>
        </w:rPr>
      </w:pPr>
      <w:r>
        <w:rPr>
          <w:rFonts w:hint="eastAsia" w:ascii="仿宋" w:hAnsi="仿宋" w:eastAsia="仿宋"/>
          <w:b/>
          <w:bCs/>
          <w:color w:val="000000"/>
          <w:spacing w:val="-4"/>
          <w:sz w:val="32"/>
          <w:szCs w:val="32"/>
        </w:rPr>
        <w:t>调剂原则</w:t>
      </w:r>
    </w:p>
    <w:p>
      <w:pPr>
        <w:pStyle w:val="4"/>
        <w:spacing w:before="0" w:beforeAutospacing="0" w:after="0" w:afterAutospacing="0" w:line="360" w:lineRule="auto"/>
        <w:ind w:firstLine="600" w:firstLineChars="200"/>
        <w:jc w:val="both"/>
        <w:rPr>
          <w:rFonts w:ascii="仿宋" w:hAnsi="仿宋" w:eastAsia="仿宋" w:cs="仿宋"/>
          <w:kern w:val="2"/>
          <w:sz w:val="30"/>
          <w:szCs w:val="30"/>
        </w:rPr>
      </w:pPr>
      <w:r>
        <w:rPr>
          <w:rFonts w:hint="eastAsia" w:ascii="仿宋" w:hAnsi="仿宋" w:eastAsia="仿宋" w:cs="仿宋"/>
          <w:kern w:val="2"/>
          <w:sz w:val="30"/>
          <w:szCs w:val="30"/>
        </w:rPr>
        <w:t>科学技术哲学专业：</w:t>
      </w:r>
    </w:p>
    <w:p>
      <w:pPr>
        <w:pStyle w:val="4"/>
        <w:numPr>
          <w:ilvl w:val="0"/>
          <w:numId w:val="2"/>
        </w:numPr>
        <w:spacing w:before="0" w:beforeAutospacing="0" w:after="0" w:afterAutospacing="0" w:line="360" w:lineRule="auto"/>
        <w:ind w:left="540" w:firstLine="300"/>
        <w:jc w:val="both"/>
        <w:rPr>
          <w:rFonts w:ascii="仿宋" w:hAnsi="仿宋" w:eastAsia="仿宋" w:cs="仿宋"/>
          <w:kern w:val="2"/>
          <w:sz w:val="30"/>
          <w:szCs w:val="30"/>
        </w:rPr>
      </w:pPr>
      <w:r>
        <w:rPr>
          <w:rFonts w:hint="eastAsia" w:ascii="仿宋" w:hAnsi="仿宋" w:eastAsia="仿宋" w:cs="仿宋"/>
          <w:kern w:val="2"/>
          <w:sz w:val="30"/>
          <w:szCs w:val="30"/>
        </w:rPr>
        <w:t>全日制本科毕业；</w:t>
      </w:r>
    </w:p>
    <w:p>
      <w:pPr>
        <w:pStyle w:val="4"/>
        <w:numPr>
          <w:ilvl w:val="0"/>
          <w:numId w:val="2"/>
        </w:numPr>
        <w:spacing w:before="0" w:beforeAutospacing="0" w:after="0" w:afterAutospacing="0" w:line="360" w:lineRule="auto"/>
        <w:ind w:left="540" w:firstLine="300"/>
        <w:jc w:val="both"/>
        <w:rPr>
          <w:rFonts w:hint="eastAsia" w:ascii="仿宋" w:hAnsi="仿宋" w:eastAsia="仿宋" w:cs="仿宋"/>
          <w:kern w:val="2"/>
          <w:sz w:val="30"/>
          <w:szCs w:val="30"/>
        </w:rPr>
      </w:pPr>
      <w:r>
        <w:rPr>
          <w:rFonts w:hint="eastAsia" w:ascii="仿宋" w:hAnsi="仿宋" w:eastAsia="仿宋" w:cs="仿宋"/>
          <w:kern w:val="2"/>
          <w:sz w:val="30"/>
          <w:szCs w:val="30"/>
        </w:rPr>
        <w:t>报考专业为哲学类专业</w:t>
      </w:r>
      <w:r>
        <w:rPr>
          <w:rFonts w:hint="eastAsia" w:ascii="仿宋" w:hAnsi="仿宋" w:eastAsia="仿宋" w:cs="仿宋"/>
          <w:kern w:val="2"/>
          <w:sz w:val="30"/>
          <w:szCs w:val="30"/>
          <w:lang w:eastAsia="zh-CN"/>
        </w:rPr>
        <w:t>，</w:t>
      </w:r>
      <w:r>
        <w:rPr>
          <w:rFonts w:hint="eastAsia" w:ascii="仿宋" w:hAnsi="仿宋" w:eastAsia="仿宋" w:cs="仿宋"/>
          <w:kern w:val="2"/>
          <w:sz w:val="30"/>
          <w:szCs w:val="30"/>
          <w:lang w:val="en-US" w:eastAsia="zh-CN"/>
        </w:rPr>
        <w:t>具体为马克思主义哲学、中国哲学、外国哲学、伦理学、宗教学、科学技术哲学六个</w:t>
      </w:r>
      <w:bookmarkStart w:id="0" w:name="_GoBack"/>
      <w:bookmarkEnd w:id="0"/>
      <w:r>
        <w:rPr>
          <w:rFonts w:hint="eastAsia" w:ascii="仿宋" w:hAnsi="仿宋" w:eastAsia="仿宋" w:cs="仿宋"/>
          <w:kern w:val="2"/>
          <w:sz w:val="30"/>
          <w:szCs w:val="30"/>
          <w:lang w:val="en-US" w:eastAsia="zh-CN"/>
        </w:rPr>
        <w:t>学科方向</w:t>
      </w:r>
      <w:r>
        <w:rPr>
          <w:rFonts w:hint="eastAsia" w:ascii="仿宋" w:hAnsi="仿宋" w:eastAsia="仿宋" w:cs="仿宋"/>
          <w:kern w:val="2"/>
          <w:sz w:val="30"/>
          <w:szCs w:val="30"/>
        </w:rPr>
        <w:t>；</w:t>
      </w:r>
    </w:p>
    <w:p>
      <w:pPr>
        <w:pStyle w:val="4"/>
        <w:numPr>
          <w:ilvl w:val="0"/>
          <w:numId w:val="2"/>
        </w:numPr>
        <w:spacing w:before="0" w:beforeAutospacing="0" w:after="0" w:afterAutospacing="0" w:line="360" w:lineRule="auto"/>
        <w:ind w:left="540" w:firstLine="300"/>
        <w:jc w:val="both"/>
        <w:rPr>
          <w:rFonts w:ascii="仿宋" w:hAnsi="仿宋" w:eastAsia="仿宋" w:cs="仿宋"/>
          <w:kern w:val="2"/>
          <w:sz w:val="30"/>
          <w:szCs w:val="30"/>
        </w:rPr>
      </w:pPr>
      <w:r>
        <w:rPr>
          <w:rFonts w:hint="eastAsia" w:ascii="仿宋" w:hAnsi="仿宋" w:eastAsia="仿宋" w:cs="仿宋"/>
          <w:kern w:val="2"/>
          <w:sz w:val="30"/>
          <w:szCs w:val="30"/>
        </w:rPr>
        <w:t>本科所学专业为哲学类、理工类及医学类专业优先；</w:t>
      </w:r>
    </w:p>
    <w:p>
      <w:pPr>
        <w:widowControl/>
        <w:numPr>
          <w:ilvl w:val="0"/>
          <w:numId w:val="1"/>
        </w:numPr>
        <w:spacing w:line="480" w:lineRule="auto"/>
        <w:ind w:firstLine="480"/>
        <w:jc w:val="left"/>
        <w:rPr>
          <w:rFonts w:ascii="仿宋" w:hAnsi="仿宋" w:eastAsia="仿宋"/>
          <w:b/>
          <w:bCs/>
          <w:color w:val="000000"/>
          <w:spacing w:val="-4"/>
          <w:sz w:val="32"/>
          <w:szCs w:val="32"/>
        </w:rPr>
      </w:pPr>
      <w:r>
        <w:rPr>
          <w:rFonts w:hint="eastAsia" w:ascii="仿宋" w:hAnsi="仿宋" w:eastAsia="仿宋"/>
          <w:b/>
          <w:bCs/>
          <w:color w:val="000000"/>
          <w:spacing w:val="-4"/>
          <w:sz w:val="32"/>
          <w:szCs w:val="32"/>
        </w:rPr>
        <w:t>调剂程序</w:t>
      </w:r>
    </w:p>
    <w:p>
      <w:pPr>
        <w:pStyle w:val="4"/>
        <w:spacing w:before="0" w:beforeAutospacing="0" w:after="0" w:afterAutospacing="0" w:line="360" w:lineRule="auto"/>
        <w:ind w:firstLine="600" w:firstLineChars="200"/>
        <w:jc w:val="both"/>
        <w:rPr>
          <w:rFonts w:ascii="仿宋" w:hAnsi="仿宋" w:eastAsia="仿宋" w:cs="仿宋"/>
          <w:kern w:val="2"/>
          <w:sz w:val="30"/>
          <w:szCs w:val="30"/>
        </w:rPr>
      </w:pPr>
      <w:r>
        <w:rPr>
          <w:rFonts w:hint="eastAsia" w:ascii="仿宋" w:hAnsi="仿宋" w:eastAsia="仿宋" w:cs="仿宋"/>
          <w:kern w:val="2"/>
          <w:sz w:val="30"/>
          <w:szCs w:val="30"/>
        </w:rPr>
        <w:t>（一）调剂时间</w:t>
      </w:r>
    </w:p>
    <w:p>
      <w:pPr>
        <w:pStyle w:val="4"/>
        <w:spacing w:before="0" w:beforeAutospacing="0" w:after="0" w:afterAutospacing="0" w:line="360" w:lineRule="auto"/>
        <w:ind w:firstLine="900" w:firstLineChars="300"/>
        <w:jc w:val="both"/>
        <w:rPr>
          <w:rFonts w:ascii="仿宋" w:hAnsi="仿宋" w:eastAsia="仿宋" w:cs="仿宋"/>
          <w:kern w:val="2"/>
          <w:sz w:val="30"/>
          <w:szCs w:val="30"/>
        </w:rPr>
      </w:pPr>
      <w:r>
        <w:rPr>
          <w:rFonts w:hint="eastAsia" w:ascii="仿宋" w:hAnsi="仿宋" w:eastAsia="仿宋" w:cs="仿宋"/>
          <w:kern w:val="2"/>
          <w:sz w:val="30"/>
          <w:szCs w:val="30"/>
        </w:rPr>
        <w:t>4月5日08:00-20:00我校开通考生调剂报名。</w:t>
      </w:r>
    </w:p>
    <w:p>
      <w:pPr>
        <w:spacing w:line="360" w:lineRule="auto"/>
        <w:ind w:firstLine="600" w:firstLineChars="200"/>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（二）调剂流程</w:t>
      </w:r>
    </w:p>
    <w:p>
      <w:pPr>
        <w:spacing w:line="360" w:lineRule="auto"/>
        <w:ind w:firstLine="600" w:firstLineChars="200"/>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请考生直接登录“中国研究生招生信息网” （网址：</w:t>
      </w:r>
      <w:r>
        <w:rPr>
          <w:rFonts w:hint="eastAsia" w:ascii="仿宋" w:hAnsi="仿宋" w:eastAsia="仿宋" w:cs="仿宋"/>
          <w:kern w:val="0"/>
          <w:sz w:val="30"/>
          <w:szCs w:val="30"/>
          <w:lang w:val="en-US" w:eastAsia="zh-CN" w:bidi="ar-SA"/>
        </w:rPr>
        <w:fldChar w:fldCharType="begin"/>
      </w:r>
      <w:r>
        <w:rPr>
          <w:rFonts w:hint="eastAsia" w:ascii="仿宋" w:hAnsi="仿宋" w:eastAsia="仿宋" w:cs="仿宋"/>
          <w:kern w:val="0"/>
          <w:sz w:val="30"/>
          <w:szCs w:val="30"/>
          <w:lang w:val="en-US" w:eastAsia="zh-CN" w:bidi="ar-SA"/>
        </w:rPr>
        <w:instrText xml:space="preserve"> HYPERLINK "http://yz.chsi.com.cn/" </w:instrText>
      </w:r>
      <w:r>
        <w:rPr>
          <w:rFonts w:hint="eastAsia" w:ascii="仿宋" w:hAnsi="仿宋" w:eastAsia="仿宋" w:cs="仿宋"/>
          <w:kern w:val="0"/>
          <w:sz w:val="30"/>
          <w:szCs w:val="30"/>
          <w:lang w:val="en-US" w:eastAsia="zh-CN" w:bidi="ar-SA"/>
        </w:rPr>
        <w:fldChar w:fldCharType="separate"/>
      </w:r>
      <w:r>
        <w:rPr>
          <w:rFonts w:hint="eastAsia" w:ascii="仿宋" w:hAnsi="仿宋" w:eastAsia="仿宋" w:cs="仿宋"/>
          <w:kern w:val="0"/>
          <w:sz w:val="30"/>
          <w:szCs w:val="30"/>
          <w:lang w:val="en-US" w:eastAsia="zh-CN" w:bidi="ar-SA"/>
        </w:rPr>
        <w:t>http://yz.chsi.com.cn</w:t>
      </w:r>
      <w:r>
        <w:rPr>
          <w:rFonts w:hint="eastAsia" w:ascii="仿宋" w:hAnsi="仿宋" w:eastAsia="仿宋" w:cs="仿宋"/>
          <w:kern w:val="0"/>
          <w:sz w:val="30"/>
          <w:szCs w:val="30"/>
          <w:lang w:val="en-US" w:eastAsia="zh-CN" w:bidi="ar-SA"/>
        </w:rPr>
        <w:fldChar w:fldCharType="end"/>
      </w:r>
      <w:r>
        <w:rPr>
          <w:rFonts w:hint="eastAsia" w:ascii="仿宋" w:hAnsi="仿宋" w:eastAsia="仿宋" w:cs="仿宋"/>
          <w:kern w:val="0"/>
          <w:sz w:val="30"/>
          <w:szCs w:val="30"/>
          <w:lang w:val="en-US" w:eastAsia="zh-CN" w:bidi="ar-SA"/>
        </w:rPr>
        <w:t xml:space="preserve"> ）填报调剂志愿。我校将依据考生初试成绩、第一志愿报考专业、考生调剂意愿、考生学术水平等综合考虑并择优遴选确定调剂生源复试名单，再通过网上调剂系统对考生发出复试通知。考生必须在我校规定时间内,调剂系统中点击“接受复试通知”，否则视为放弃复试资格。</w:t>
      </w:r>
    </w:p>
    <w:p>
      <w:pPr>
        <w:widowControl/>
        <w:numPr>
          <w:numId w:val="0"/>
        </w:numPr>
        <w:spacing w:line="480" w:lineRule="auto"/>
        <w:jc w:val="left"/>
        <w:rPr>
          <w:rFonts w:hint="eastAsia" w:ascii="仿宋" w:hAnsi="仿宋" w:eastAsia="仿宋"/>
          <w:b/>
          <w:bCs/>
          <w:color w:val="000000"/>
          <w:spacing w:val="-4"/>
          <w:sz w:val="32"/>
          <w:szCs w:val="32"/>
        </w:rPr>
      </w:pPr>
      <w:r>
        <w:rPr>
          <w:rFonts w:hint="eastAsia" w:ascii="仿宋" w:hAnsi="仿宋" w:eastAsia="仿宋"/>
          <w:b/>
          <w:bCs/>
          <w:color w:val="000000"/>
          <w:spacing w:val="-4"/>
          <w:sz w:val="32"/>
          <w:szCs w:val="32"/>
          <w:lang w:val="en-US" w:eastAsia="zh-CN"/>
        </w:rPr>
        <w:t>四、</w:t>
      </w:r>
      <w:r>
        <w:rPr>
          <w:rFonts w:hint="eastAsia" w:ascii="仿宋" w:hAnsi="仿宋" w:eastAsia="仿宋"/>
          <w:b/>
          <w:bCs/>
          <w:color w:val="000000"/>
          <w:spacing w:val="-4"/>
          <w:sz w:val="32"/>
          <w:szCs w:val="32"/>
        </w:rPr>
        <w:t>复试需要提交的材料及提交时间</w:t>
      </w:r>
    </w:p>
    <w:p>
      <w:pPr>
        <w:pStyle w:val="4"/>
        <w:spacing w:before="0" w:beforeAutospacing="0" w:after="0" w:afterAutospacing="0" w:line="456" w:lineRule="auto"/>
        <w:ind w:firstLine="560"/>
        <w:rPr>
          <w:rFonts w:ascii="仿宋" w:hAnsi="仿宋" w:eastAsia="仿宋" w:cs="仿宋"/>
          <w:sz w:val="30"/>
          <w:szCs w:val="30"/>
        </w:rPr>
      </w:pPr>
      <w:r>
        <w:rPr>
          <w:rFonts w:hint="eastAsia" w:ascii="仿宋" w:hAnsi="仿宋" w:eastAsia="仿宋" w:cs="仿宋"/>
          <w:sz w:val="30"/>
          <w:szCs w:val="30"/>
        </w:rPr>
        <w:t>为方便联系考生及发布信息我院专门建立考生QQ群，调剂考生需申请入群（见南昌大学人文学院官网公告），并于4月8日前在网络远程复试平台上传资格审查的相关材料且进行网上报到，</w:t>
      </w:r>
      <w:r>
        <w:rPr>
          <w:rFonts w:hint="eastAsia" w:ascii="仿宋" w:hAnsi="仿宋" w:eastAsia="仿宋" w:cs="Arial"/>
          <w:color w:val="000000"/>
          <w:sz w:val="28"/>
          <w:szCs w:val="28"/>
        </w:rPr>
        <w:t>所涉及原件请以彩色电子扫描件（PDF格式）提交至系统</w:t>
      </w:r>
      <w:r>
        <w:rPr>
          <w:rFonts w:hint="eastAsia" w:ascii="仿宋" w:hAnsi="仿宋" w:eastAsia="仿宋" w:cs="仿宋"/>
          <w:sz w:val="30"/>
          <w:szCs w:val="30"/>
        </w:rPr>
        <w:t>。学院在4月9日9:00前将对考生提交的电子材料进行严格审查核验，严把复试入口关，对不符合规定者，不予复试。</w:t>
      </w:r>
    </w:p>
    <w:p>
      <w:pPr>
        <w:pStyle w:val="4"/>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color w:val="000000"/>
          <w:sz w:val="28"/>
          <w:szCs w:val="28"/>
        </w:rPr>
        <w:t>除提交电子版审核材料外，考生还需在4月12日下午16:00前向人文学院研究生办公室寄（送）达相关纸质审核材料（考生资格审查单及审查单所勾选材料），特别提醒：资格审查单上必须有本人亲笔签名，纸质审核材料中的体检证明需由二甲以上医院开具。考生需按照资格审查单所列顺序将材料一并装入自备信封，邮寄务必使用顺丰快递或EMS寄送，邮寄地址：江西省南昌市红谷滩新区学府大道999号南昌大学前湖校区人文学院研究生办公室董老师收，手机：18679053929，邮编：330031，请在邮件封面注明“人文学院‘2021年南昌大学人文学院硕士招生复试’纸制材料”。如因考生个人原因未能及时寄送纸质报名材料而导致无法参加学院考核，相关不良后果由考生本人承担。所寄的所有申请材料一概不予退还，请寄送前复印好相关材料。</w:t>
      </w:r>
    </w:p>
    <w:p>
      <w:pPr>
        <w:pStyle w:val="4"/>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b/>
          <w:bCs/>
          <w:color w:val="000000"/>
          <w:sz w:val="28"/>
          <w:szCs w:val="28"/>
        </w:rPr>
        <w:t>复试资格审查材料清单详见《南昌大学2021年硕士研究生招生复试须知》。</w:t>
      </w:r>
    </w:p>
    <w:p>
      <w:pPr>
        <w:widowControl/>
        <w:numPr>
          <w:ilvl w:val="0"/>
          <w:numId w:val="0"/>
        </w:numPr>
        <w:spacing w:line="480" w:lineRule="auto"/>
        <w:jc w:val="left"/>
        <w:rPr>
          <w:rFonts w:hint="eastAsia" w:ascii="仿宋" w:hAnsi="仿宋" w:eastAsia="仿宋"/>
          <w:b/>
          <w:bCs/>
          <w:color w:val="000000"/>
          <w:spacing w:val="-4"/>
          <w:sz w:val="32"/>
          <w:szCs w:val="32"/>
        </w:rPr>
      </w:pPr>
      <w:r>
        <w:rPr>
          <w:rFonts w:hint="eastAsia" w:ascii="仿宋" w:hAnsi="仿宋" w:eastAsia="仿宋"/>
          <w:b/>
          <w:bCs/>
          <w:color w:val="000000"/>
          <w:spacing w:val="-4"/>
          <w:sz w:val="32"/>
          <w:szCs w:val="32"/>
          <w:lang w:val="en-US" w:eastAsia="zh-CN"/>
        </w:rPr>
        <w:t>五、</w:t>
      </w:r>
      <w:r>
        <w:rPr>
          <w:rFonts w:hint="eastAsia" w:ascii="仿宋" w:hAnsi="仿宋" w:eastAsia="仿宋"/>
          <w:b/>
          <w:bCs/>
          <w:color w:val="000000"/>
          <w:spacing w:val="-4"/>
          <w:sz w:val="32"/>
          <w:szCs w:val="32"/>
        </w:rPr>
        <w:t>复试要求</w:t>
      </w:r>
    </w:p>
    <w:p>
      <w:pPr>
        <w:pStyle w:val="4"/>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color w:val="000000"/>
          <w:sz w:val="28"/>
          <w:szCs w:val="28"/>
        </w:rPr>
        <w:t>（一）复试时间</w:t>
      </w:r>
    </w:p>
    <w:tbl>
      <w:tblPr>
        <w:tblStyle w:val="6"/>
        <w:tblW w:w="822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100"/>
        <w:gridCol w:w="1800"/>
        <w:gridCol w:w="1267"/>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944" w:type="dxa"/>
            <w:vAlign w:val="center"/>
          </w:tcPr>
          <w:p>
            <w:pPr>
              <w:pStyle w:val="4"/>
              <w:spacing w:before="0" w:beforeAutospacing="0" w:after="0" w:afterAutospacing="0" w:line="456" w:lineRule="auto"/>
              <w:jc w:val="center"/>
              <w:rPr>
                <w:rFonts w:ascii="仿宋" w:hAnsi="仿宋" w:eastAsia="仿宋" w:cs="Arial"/>
                <w:color w:val="000000"/>
                <w:sz w:val="28"/>
                <w:szCs w:val="28"/>
              </w:rPr>
            </w:pPr>
            <w:r>
              <w:rPr>
                <w:rFonts w:hint="eastAsia" w:ascii="仿宋" w:hAnsi="仿宋" w:eastAsia="仿宋" w:cs="Arial"/>
                <w:color w:val="000000"/>
                <w:sz w:val="28"/>
                <w:szCs w:val="28"/>
              </w:rPr>
              <w:t>专业代码</w:t>
            </w:r>
          </w:p>
        </w:tc>
        <w:tc>
          <w:tcPr>
            <w:tcW w:w="2100" w:type="dxa"/>
            <w:vAlign w:val="center"/>
          </w:tcPr>
          <w:p>
            <w:pPr>
              <w:pStyle w:val="4"/>
              <w:spacing w:before="0" w:beforeAutospacing="0" w:after="0" w:afterAutospacing="0" w:line="456" w:lineRule="auto"/>
              <w:jc w:val="center"/>
              <w:rPr>
                <w:rFonts w:ascii="仿宋" w:hAnsi="仿宋" w:eastAsia="仿宋" w:cs="Arial"/>
                <w:color w:val="000000"/>
                <w:sz w:val="28"/>
                <w:szCs w:val="28"/>
              </w:rPr>
            </w:pPr>
            <w:r>
              <w:rPr>
                <w:rFonts w:hint="eastAsia" w:ascii="仿宋" w:hAnsi="仿宋" w:eastAsia="仿宋" w:cs="Arial"/>
                <w:color w:val="000000"/>
                <w:sz w:val="28"/>
                <w:szCs w:val="28"/>
              </w:rPr>
              <w:t>专业</w:t>
            </w:r>
          </w:p>
        </w:tc>
        <w:tc>
          <w:tcPr>
            <w:tcW w:w="1800" w:type="dxa"/>
            <w:vAlign w:val="center"/>
          </w:tcPr>
          <w:p>
            <w:pPr>
              <w:pStyle w:val="4"/>
              <w:spacing w:before="0" w:beforeAutospacing="0" w:after="0" w:afterAutospacing="0" w:line="456" w:lineRule="auto"/>
              <w:jc w:val="center"/>
              <w:rPr>
                <w:rFonts w:ascii="仿宋" w:hAnsi="仿宋" w:eastAsia="仿宋" w:cs="Arial"/>
                <w:color w:val="000000"/>
                <w:sz w:val="28"/>
                <w:szCs w:val="28"/>
              </w:rPr>
            </w:pPr>
            <w:r>
              <w:rPr>
                <w:rFonts w:hint="eastAsia" w:ascii="仿宋" w:hAnsi="仿宋" w:eastAsia="仿宋" w:cs="Arial"/>
                <w:color w:val="000000"/>
                <w:sz w:val="28"/>
                <w:szCs w:val="28"/>
              </w:rPr>
              <w:t>日期</w:t>
            </w:r>
          </w:p>
        </w:tc>
        <w:tc>
          <w:tcPr>
            <w:tcW w:w="1267" w:type="dxa"/>
            <w:vAlign w:val="center"/>
          </w:tcPr>
          <w:p>
            <w:pPr>
              <w:pStyle w:val="4"/>
              <w:spacing w:before="0" w:beforeAutospacing="0" w:after="0" w:afterAutospacing="0" w:line="456" w:lineRule="auto"/>
              <w:jc w:val="center"/>
              <w:rPr>
                <w:rFonts w:ascii="仿宋" w:hAnsi="仿宋" w:eastAsia="仿宋" w:cs="Arial"/>
                <w:color w:val="000000"/>
                <w:sz w:val="28"/>
                <w:szCs w:val="28"/>
              </w:rPr>
            </w:pPr>
            <w:r>
              <w:rPr>
                <w:rFonts w:hint="eastAsia" w:ascii="仿宋" w:hAnsi="仿宋" w:eastAsia="仿宋" w:cs="Arial"/>
                <w:color w:val="000000"/>
                <w:sz w:val="28"/>
                <w:szCs w:val="28"/>
              </w:rPr>
              <w:t>时间</w:t>
            </w:r>
          </w:p>
        </w:tc>
        <w:tc>
          <w:tcPr>
            <w:tcW w:w="1110" w:type="dxa"/>
          </w:tcPr>
          <w:p>
            <w:pPr>
              <w:pStyle w:val="4"/>
              <w:spacing w:before="0" w:beforeAutospacing="0" w:after="0" w:afterAutospacing="0" w:line="456" w:lineRule="auto"/>
              <w:jc w:val="center"/>
              <w:rPr>
                <w:rFonts w:ascii="仿宋" w:hAnsi="仿宋" w:eastAsia="仿宋" w:cs="Arial"/>
                <w:color w:val="000000"/>
                <w:sz w:val="28"/>
                <w:szCs w:val="28"/>
              </w:rPr>
            </w:pPr>
            <w:r>
              <w:rPr>
                <w:rFonts w:hint="eastAsia" w:ascii="仿宋" w:hAnsi="仿宋" w:eastAsia="仿宋" w:cs="Arial"/>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center"/>
          </w:tcPr>
          <w:p>
            <w:pPr>
              <w:pStyle w:val="4"/>
              <w:spacing w:before="0" w:beforeAutospacing="0" w:after="0" w:afterAutospacing="0" w:line="456" w:lineRule="auto"/>
              <w:jc w:val="center"/>
              <w:rPr>
                <w:rFonts w:ascii="仿宋" w:hAnsi="仿宋" w:eastAsia="仿宋" w:cs="Arial"/>
                <w:color w:val="000000"/>
                <w:sz w:val="28"/>
                <w:szCs w:val="28"/>
              </w:rPr>
            </w:pPr>
            <w:r>
              <w:rPr>
                <w:rFonts w:hint="eastAsia" w:ascii="仿宋" w:hAnsi="仿宋" w:eastAsia="仿宋" w:cs="Arial"/>
                <w:color w:val="000000"/>
                <w:sz w:val="28"/>
                <w:szCs w:val="28"/>
              </w:rPr>
              <w:t>010108</w:t>
            </w:r>
          </w:p>
        </w:tc>
        <w:tc>
          <w:tcPr>
            <w:tcW w:w="2100" w:type="dxa"/>
            <w:vAlign w:val="center"/>
          </w:tcPr>
          <w:p>
            <w:pPr>
              <w:pStyle w:val="4"/>
              <w:spacing w:before="0" w:beforeAutospacing="0" w:after="0" w:afterAutospacing="0" w:line="456" w:lineRule="auto"/>
              <w:rPr>
                <w:rFonts w:ascii="仿宋" w:hAnsi="仿宋" w:eastAsia="仿宋" w:cs="Arial"/>
                <w:color w:val="000000"/>
                <w:sz w:val="28"/>
                <w:szCs w:val="28"/>
              </w:rPr>
            </w:pPr>
            <w:r>
              <w:rPr>
                <w:rFonts w:hint="eastAsia" w:ascii="仿宋" w:hAnsi="仿宋" w:eastAsia="仿宋" w:cs="仿宋"/>
                <w:kern w:val="2"/>
                <w:sz w:val="30"/>
                <w:szCs w:val="30"/>
              </w:rPr>
              <w:t>科学技术哲学</w:t>
            </w:r>
          </w:p>
        </w:tc>
        <w:tc>
          <w:tcPr>
            <w:tcW w:w="1800" w:type="dxa"/>
            <w:vAlign w:val="center"/>
          </w:tcPr>
          <w:p>
            <w:pPr>
              <w:pStyle w:val="4"/>
              <w:spacing w:before="0" w:beforeAutospacing="0" w:after="0" w:afterAutospacing="0" w:line="456" w:lineRule="auto"/>
              <w:ind w:firstLine="280" w:firstLineChars="100"/>
              <w:rPr>
                <w:rFonts w:ascii="仿宋" w:hAnsi="仿宋" w:eastAsia="仿宋" w:cs="Arial"/>
                <w:color w:val="000000"/>
                <w:sz w:val="28"/>
                <w:szCs w:val="28"/>
              </w:rPr>
            </w:pPr>
            <w:r>
              <w:rPr>
                <w:rFonts w:hint="eastAsia" w:ascii="仿宋" w:hAnsi="仿宋" w:eastAsia="仿宋" w:cs="Arial"/>
                <w:color w:val="000000"/>
                <w:sz w:val="28"/>
                <w:szCs w:val="28"/>
              </w:rPr>
              <w:t>4月9日</w:t>
            </w:r>
          </w:p>
        </w:tc>
        <w:tc>
          <w:tcPr>
            <w:tcW w:w="1267" w:type="dxa"/>
            <w:vAlign w:val="center"/>
          </w:tcPr>
          <w:p>
            <w:pPr>
              <w:pStyle w:val="4"/>
              <w:spacing w:before="0" w:beforeAutospacing="0" w:after="0" w:afterAutospacing="0" w:line="456" w:lineRule="auto"/>
              <w:ind w:firstLine="280" w:firstLineChars="100"/>
              <w:rPr>
                <w:rFonts w:ascii="仿宋" w:hAnsi="仿宋" w:eastAsia="仿宋" w:cs="Arial"/>
                <w:color w:val="000000"/>
                <w:sz w:val="28"/>
                <w:szCs w:val="28"/>
              </w:rPr>
            </w:pPr>
            <w:r>
              <w:rPr>
                <w:rFonts w:hint="eastAsia" w:ascii="仿宋" w:hAnsi="仿宋" w:eastAsia="仿宋" w:cs="Arial"/>
                <w:color w:val="000000"/>
                <w:sz w:val="28"/>
                <w:szCs w:val="28"/>
              </w:rPr>
              <w:t>9:00</w:t>
            </w:r>
          </w:p>
        </w:tc>
        <w:tc>
          <w:tcPr>
            <w:tcW w:w="1110" w:type="dxa"/>
          </w:tcPr>
          <w:p>
            <w:pPr>
              <w:pStyle w:val="4"/>
              <w:spacing w:before="0" w:beforeAutospacing="0" w:after="0" w:afterAutospacing="0" w:line="456" w:lineRule="auto"/>
              <w:ind w:firstLine="560"/>
              <w:rPr>
                <w:rFonts w:ascii="仿宋" w:hAnsi="仿宋" w:eastAsia="仿宋" w:cs="Arial"/>
                <w:color w:val="000000"/>
                <w:sz w:val="28"/>
                <w:szCs w:val="28"/>
              </w:rPr>
            </w:pPr>
          </w:p>
        </w:tc>
      </w:tr>
    </w:tbl>
    <w:p>
      <w:pPr>
        <w:pStyle w:val="4"/>
        <w:numPr>
          <w:ilvl w:val="0"/>
          <w:numId w:val="3"/>
        </w:numPr>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color w:val="000000"/>
          <w:sz w:val="28"/>
          <w:szCs w:val="28"/>
        </w:rPr>
        <w:t xml:space="preserve">复试方式与平台 </w:t>
      </w:r>
    </w:p>
    <w:p>
      <w:pPr>
        <w:pStyle w:val="4"/>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color w:val="000000"/>
          <w:sz w:val="28"/>
          <w:szCs w:val="28"/>
        </w:rPr>
        <w:t xml:space="preserve">采用网络远程的方式进行复试。复试平台为《研招远程面试系统》（教育部推荐），备用平台为腾讯会议。考生远程复试所需配备的设备和复试场地要求：        </w:t>
      </w:r>
    </w:p>
    <w:p>
      <w:pPr>
        <w:pStyle w:val="4"/>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color w:val="000000"/>
          <w:sz w:val="28"/>
          <w:szCs w:val="28"/>
        </w:rPr>
        <w:t>1.“双机位”硬件：</w:t>
      </w:r>
    </w:p>
    <w:p>
      <w:pPr>
        <w:pStyle w:val="4"/>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color w:val="000000"/>
          <w:sz w:val="28"/>
          <w:szCs w:val="28"/>
        </w:rPr>
        <w:t>考生远程参加复试需双机位进行，分别使用电脑和手机登录学信网远程复试系统。</w:t>
      </w:r>
    </w:p>
    <w:p>
      <w:pPr>
        <w:pStyle w:val="4"/>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color w:val="000000"/>
          <w:sz w:val="28"/>
          <w:szCs w:val="28"/>
        </w:rPr>
        <w:t>第一机位：电脑，不得使用耳机。需带有摄像头、麦克风功能。</w:t>
      </w:r>
    </w:p>
    <w:p>
      <w:pPr>
        <w:pStyle w:val="4"/>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color w:val="000000"/>
          <w:sz w:val="28"/>
          <w:szCs w:val="28"/>
        </w:rPr>
        <w:t>第二机位：手机或pad等平板设备（安卓系统或苹果系统），建议准备手机支架。</w:t>
      </w:r>
    </w:p>
    <w:p>
      <w:pPr>
        <w:pStyle w:val="4"/>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color w:val="000000"/>
          <w:sz w:val="28"/>
          <w:szCs w:val="28"/>
        </w:rPr>
        <w:t>双机位操作：考生双手摆放桌面，第一机位从正面拍摄，放置在距离本人30cm处，完整拍摄到考生双手以上身体部位。第二机位从考生侧后方45°距离本人1m处拍摄，可以拍摄到考生侧面及主设备电脑全屏幕，需保证面试考官能够从第二机位清晰看到第一机位屏幕。</w:t>
      </w:r>
    </w:p>
    <w:p>
      <w:pPr>
        <w:pStyle w:val="4"/>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color w:val="000000"/>
          <w:sz w:val="28"/>
          <w:szCs w:val="28"/>
        </w:rPr>
        <w:t>2.软件：</w:t>
      </w:r>
    </w:p>
    <w:p>
      <w:pPr>
        <w:pStyle w:val="4"/>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color w:val="000000"/>
          <w:sz w:val="28"/>
          <w:szCs w:val="28"/>
        </w:rPr>
        <w:t>1）电脑：需下载安装最新版Chrome浏览器。</w:t>
      </w:r>
    </w:p>
    <w:p>
      <w:pPr>
        <w:pStyle w:val="4"/>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color w:val="000000"/>
          <w:sz w:val="28"/>
          <w:szCs w:val="28"/>
        </w:rPr>
        <w:t>2）手机或pad等平板设备：需下载安装最新版学信网APP，安装后请允许学信网App使用摄像头、扬声器、存储空间、网络等权限，以保证正常进行实人验证。建议安装支付宝（实人验证用）。</w:t>
      </w:r>
    </w:p>
    <w:p>
      <w:pPr>
        <w:pStyle w:val="4"/>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color w:val="000000"/>
          <w:sz w:val="28"/>
          <w:szCs w:val="28"/>
        </w:rPr>
        <w:t>3.环境要求：</w:t>
      </w:r>
    </w:p>
    <w:p>
      <w:pPr>
        <w:pStyle w:val="4"/>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color w:val="000000"/>
          <w:sz w:val="28"/>
          <w:szCs w:val="28"/>
        </w:rPr>
        <w:t>考生应选择安静、独立、无干扰、光线适宜的复试环境。可视范围内不能有相关资料，不得有其他人在场；须关闭可能影响正常复试的移动设备、应用程序及其他任何电子设备等，不得出现其他声音。</w:t>
      </w:r>
    </w:p>
    <w:p>
      <w:pPr>
        <w:pStyle w:val="4"/>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color w:val="000000"/>
          <w:sz w:val="28"/>
          <w:szCs w:val="28"/>
        </w:rPr>
        <w:t>复试期间“双机位”应一直显示远程复试界面，视频背景必须是真实环境，不允许使用虚拟背景、更换视频背景。</w:t>
      </w:r>
    </w:p>
    <w:p>
      <w:pPr>
        <w:pStyle w:val="4"/>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color w:val="000000"/>
          <w:sz w:val="28"/>
          <w:szCs w:val="28"/>
        </w:rPr>
        <w:t>考生需提前测试设备和网络，能满足复试要求，建议考生尽可能准备至少两种网络方案：有线网络、无线网络、4G/5G网络等。建议电脑优先使用有线网络；手机电量保持充足。</w:t>
      </w:r>
    </w:p>
    <w:p>
      <w:pPr>
        <w:pStyle w:val="4"/>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color w:val="000000"/>
          <w:sz w:val="28"/>
          <w:szCs w:val="28"/>
        </w:rPr>
        <w:t>正式复试前，考生需按要求备妥软硬件条件和网络环境，配合各学院完成网络远程复试软件测试与模拟演练（包括学院要求的备用平台），请各位考生注意查看学院通知，并保持联系方式畅通。</w:t>
      </w:r>
    </w:p>
    <w:p>
      <w:pPr>
        <w:pStyle w:val="4"/>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color w:val="000000"/>
          <w:sz w:val="28"/>
          <w:szCs w:val="28"/>
        </w:rPr>
        <w:t>（三）复试内容</w:t>
      </w:r>
    </w:p>
    <w:p>
      <w:pPr>
        <w:pStyle w:val="4"/>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color w:val="000000"/>
          <w:sz w:val="28"/>
          <w:szCs w:val="28"/>
        </w:rPr>
        <w:t>1.外国语听力与口语测试：5分钟（自我介绍和面试官提问环节）;</w:t>
      </w:r>
    </w:p>
    <w:p>
      <w:pPr>
        <w:pStyle w:val="10"/>
        <w:ind w:firstLine="56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2.专业基础考核：10分钟</w:t>
      </w:r>
    </w:p>
    <w:p>
      <w:pPr>
        <w:pStyle w:val="10"/>
        <w:ind w:firstLine="560"/>
        <w:jc w:val="left"/>
        <w:rPr>
          <w:rFonts w:hint="eastAsia" w:ascii="仿宋" w:hAnsi="仿宋" w:eastAsia="仿宋" w:cs="Arial"/>
          <w:color w:val="000000"/>
          <w:kern w:val="0"/>
          <w:sz w:val="28"/>
          <w:szCs w:val="28"/>
        </w:rPr>
      </w:pPr>
      <w:r>
        <w:rPr>
          <w:rFonts w:hint="eastAsia" w:ascii="仿宋" w:hAnsi="仿宋" w:eastAsia="仿宋" w:cs="Arial"/>
          <w:color w:val="000000"/>
          <w:kern w:val="0"/>
          <w:sz w:val="28"/>
          <w:szCs w:val="28"/>
        </w:rPr>
        <w:t>3.综合素质考核：10分钟</w:t>
      </w:r>
    </w:p>
    <w:p>
      <w:pPr>
        <w:pStyle w:val="10"/>
        <w:ind w:firstLine="560"/>
        <w:jc w:val="left"/>
        <w:rPr>
          <w:rFonts w:hint="eastAsia" w:ascii="仿宋" w:hAnsi="仿宋" w:eastAsia="仿宋" w:cs="Arial"/>
          <w:color w:val="000000"/>
          <w:kern w:val="0"/>
          <w:sz w:val="28"/>
          <w:szCs w:val="28"/>
        </w:rPr>
      </w:pPr>
      <w:r>
        <w:rPr>
          <w:rFonts w:hint="eastAsia" w:ascii="仿宋" w:hAnsi="仿宋" w:eastAsia="仿宋" w:cs="Arial"/>
          <w:color w:val="000000"/>
          <w:kern w:val="0"/>
          <w:sz w:val="28"/>
          <w:szCs w:val="28"/>
          <w:lang w:eastAsia="zh-CN"/>
        </w:rPr>
        <w:t>（</w:t>
      </w:r>
      <w:r>
        <w:rPr>
          <w:rFonts w:hint="eastAsia" w:ascii="仿宋" w:hAnsi="仿宋" w:eastAsia="仿宋" w:cs="Arial"/>
          <w:color w:val="000000"/>
          <w:kern w:val="0"/>
          <w:sz w:val="28"/>
          <w:szCs w:val="28"/>
          <w:lang w:val="en-US" w:eastAsia="zh-CN"/>
        </w:rPr>
        <w:t>四</w:t>
      </w:r>
      <w:r>
        <w:rPr>
          <w:rFonts w:hint="eastAsia" w:ascii="仿宋" w:hAnsi="仿宋" w:eastAsia="仿宋" w:cs="Arial"/>
          <w:color w:val="000000"/>
          <w:kern w:val="0"/>
          <w:sz w:val="28"/>
          <w:szCs w:val="28"/>
          <w:lang w:eastAsia="zh-CN"/>
        </w:rPr>
        <w:t>）</w:t>
      </w:r>
      <w:r>
        <w:rPr>
          <w:rFonts w:hint="eastAsia" w:ascii="仿宋" w:hAnsi="仿宋" w:eastAsia="仿宋" w:cs="Arial"/>
          <w:color w:val="000000"/>
          <w:kern w:val="0"/>
          <w:sz w:val="28"/>
          <w:szCs w:val="28"/>
        </w:rPr>
        <w:t>网络远程复试要求</w:t>
      </w:r>
    </w:p>
    <w:p>
      <w:pPr>
        <w:pStyle w:val="10"/>
        <w:ind w:firstLine="560"/>
        <w:jc w:val="left"/>
        <w:rPr>
          <w:rFonts w:hint="eastAsia" w:ascii="仿宋" w:hAnsi="仿宋" w:eastAsia="仿宋" w:cs="Arial"/>
          <w:color w:val="000000"/>
          <w:kern w:val="0"/>
          <w:sz w:val="28"/>
          <w:szCs w:val="28"/>
        </w:rPr>
      </w:pPr>
      <w:r>
        <w:rPr>
          <w:rFonts w:hint="eastAsia" w:ascii="仿宋" w:hAnsi="仿宋" w:eastAsia="仿宋" w:cs="Arial"/>
          <w:color w:val="000000"/>
          <w:kern w:val="0"/>
          <w:sz w:val="28"/>
          <w:szCs w:val="28"/>
        </w:rPr>
        <w:t>1.网上复试，每一个面试组的面试老师在同一场所进行面试，全程录音录像，并安排好网络技术指导。</w:t>
      </w:r>
    </w:p>
    <w:p>
      <w:pPr>
        <w:pStyle w:val="10"/>
        <w:ind w:firstLine="560"/>
        <w:jc w:val="left"/>
        <w:rPr>
          <w:rFonts w:hint="eastAsia" w:ascii="仿宋" w:hAnsi="仿宋" w:eastAsia="仿宋" w:cs="Arial"/>
          <w:color w:val="000000"/>
          <w:kern w:val="0"/>
          <w:sz w:val="28"/>
          <w:szCs w:val="28"/>
        </w:rPr>
      </w:pPr>
      <w:r>
        <w:rPr>
          <w:rFonts w:hint="eastAsia" w:ascii="仿宋" w:hAnsi="仿宋" w:eastAsia="仿宋" w:cs="Arial"/>
          <w:color w:val="000000"/>
          <w:kern w:val="0"/>
          <w:sz w:val="28"/>
          <w:szCs w:val="28"/>
        </w:rPr>
        <w:t>2.面试时长：每位考生不得少于20分钟，考生可以自主提出提前结束面试。</w:t>
      </w:r>
    </w:p>
    <w:p>
      <w:pPr>
        <w:pStyle w:val="10"/>
        <w:ind w:firstLine="560"/>
        <w:jc w:val="left"/>
        <w:rPr>
          <w:rFonts w:hint="eastAsia" w:ascii="仿宋" w:hAnsi="仿宋" w:eastAsia="仿宋" w:cs="Arial"/>
          <w:color w:val="000000"/>
          <w:kern w:val="0"/>
          <w:sz w:val="28"/>
          <w:szCs w:val="28"/>
        </w:rPr>
      </w:pPr>
      <w:r>
        <w:rPr>
          <w:rFonts w:hint="eastAsia" w:ascii="仿宋" w:hAnsi="仿宋" w:eastAsia="仿宋" w:cs="Arial"/>
          <w:color w:val="000000"/>
          <w:kern w:val="0"/>
          <w:sz w:val="28"/>
          <w:szCs w:val="28"/>
        </w:rPr>
        <w:t>3.复试考生必须于复试当日提前15分钟登陆研究生院指定的网络平台完成身份验证，9:00正式开始面试，首先进行外国语听力与口语测试，包括自我介绍与提问环节。专业基础考核环节采取抽题口述答题方式，考官只听取考生回答，不进行提问和互动，最后进行综合素质面试环节。</w:t>
      </w:r>
    </w:p>
    <w:p>
      <w:pPr>
        <w:pStyle w:val="10"/>
        <w:ind w:firstLine="560"/>
        <w:jc w:val="left"/>
        <w:rPr>
          <w:rFonts w:hint="eastAsia" w:ascii="仿宋" w:hAnsi="仿宋" w:eastAsia="仿宋" w:cs="Arial"/>
          <w:color w:val="000000"/>
          <w:kern w:val="0"/>
          <w:sz w:val="28"/>
          <w:szCs w:val="28"/>
        </w:rPr>
      </w:pPr>
      <w:r>
        <w:rPr>
          <w:rFonts w:hint="eastAsia" w:ascii="仿宋" w:hAnsi="仿宋" w:eastAsia="仿宋" w:cs="Arial"/>
          <w:color w:val="000000"/>
          <w:kern w:val="0"/>
          <w:sz w:val="28"/>
          <w:szCs w:val="28"/>
        </w:rPr>
        <w:t>4.参加复试的所有老师于复试当日提前15分钟到达复试指定的的考场。</w:t>
      </w:r>
    </w:p>
    <w:p>
      <w:pPr>
        <w:widowControl/>
        <w:spacing w:line="480" w:lineRule="auto"/>
        <w:ind w:firstLine="627" w:firstLineChars="200"/>
        <w:jc w:val="left"/>
        <w:rPr>
          <w:rFonts w:ascii="仿宋" w:hAnsi="仿宋" w:eastAsia="仿宋"/>
          <w:b/>
          <w:bCs/>
          <w:color w:val="000000"/>
          <w:spacing w:val="-4"/>
          <w:sz w:val="32"/>
          <w:szCs w:val="32"/>
        </w:rPr>
      </w:pPr>
      <w:r>
        <w:rPr>
          <w:rFonts w:hint="eastAsia" w:ascii="仿宋" w:hAnsi="仿宋" w:eastAsia="仿宋"/>
          <w:b/>
          <w:bCs/>
          <w:color w:val="000000"/>
          <w:spacing w:val="-4"/>
          <w:sz w:val="32"/>
          <w:szCs w:val="32"/>
        </w:rPr>
        <w:t>六、复试成绩计算</w:t>
      </w:r>
    </w:p>
    <w:p>
      <w:pPr>
        <w:pStyle w:val="4"/>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color w:val="000000"/>
          <w:sz w:val="28"/>
          <w:szCs w:val="28"/>
        </w:rPr>
        <w:t xml:space="preserve">1.复试成绩总分为 250 分。其中，专业基础考核满分为 100分；综合素质满分为 100 分；外国语听力与口语测试满分为50 分。                     </w:t>
      </w:r>
    </w:p>
    <w:p>
      <w:pPr>
        <w:pStyle w:val="4"/>
        <w:spacing w:before="0" w:beforeAutospacing="0" w:after="0" w:afterAutospacing="0" w:line="456" w:lineRule="auto"/>
        <w:ind w:firstLine="560" w:firstLineChars="200"/>
        <w:rPr>
          <w:rFonts w:ascii="仿宋" w:hAnsi="仿宋" w:eastAsia="仿宋" w:cs="Arial"/>
          <w:color w:val="000000"/>
          <w:sz w:val="28"/>
          <w:szCs w:val="28"/>
        </w:rPr>
      </w:pPr>
      <w:r>
        <w:rPr>
          <w:rFonts w:hint="eastAsia" w:ascii="仿宋" w:hAnsi="仿宋" w:eastAsia="仿宋" w:cs="Arial"/>
          <w:color w:val="000000"/>
          <w:sz w:val="28"/>
          <w:szCs w:val="28"/>
        </w:rPr>
        <w:t xml:space="preserve">专业基础考核、综合素质及格分均为 60 分，外国语听力与口语测试及格分为 30 分，不及格者不予录取。 </w:t>
      </w:r>
    </w:p>
    <w:p>
      <w:pPr>
        <w:pStyle w:val="4"/>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color w:val="000000"/>
          <w:sz w:val="28"/>
          <w:szCs w:val="28"/>
        </w:rPr>
        <w:t>2.同等学力考生除完成外国语听说能力测试、综合素质和专业基础面试外，还须参加同等学力加试，加试方式以面试小组现场提问作答的形式完成。同等学力的加试业务课成绩，只设合格线（60分），不及格者不予录取，不计入复试总成绩。</w:t>
      </w:r>
    </w:p>
    <w:p>
      <w:pPr>
        <w:ind w:firstLine="560" w:firstLineChars="200"/>
        <w:rPr>
          <w:rFonts w:ascii="仿宋" w:hAnsi="仿宋" w:eastAsia="仿宋" w:cs="Arial"/>
          <w:color w:val="000000"/>
          <w:kern w:val="0"/>
          <w:sz w:val="28"/>
          <w:szCs w:val="28"/>
        </w:rPr>
      </w:pPr>
      <w:r>
        <w:rPr>
          <w:rFonts w:hint="eastAsia" w:ascii="仿宋" w:hAnsi="仿宋" w:eastAsia="仿宋" w:cs="Arial"/>
          <w:color w:val="000000"/>
          <w:sz w:val="28"/>
          <w:szCs w:val="28"/>
        </w:rPr>
        <w:t>3.</w:t>
      </w:r>
      <w:r>
        <w:rPr>
          <w:rFonts w:hint="eastAsia" w:ascii="仿宋" w:hAnsi="仿宋" w:eastAsia="仿宋" w:cs="Arial"/>
          <w:color w:val="000000"/>
          <w:kern w:val="0"/>
          <w:sz w:val="28"/>
          <w:szCs w:val="28"/>
        </w:rPr>
        <w:t>复试总成绩和加试成绩合格者，将复试总成绩和初试成绩按权重计算后相加，得出考生入学考试总成绩。复试总成绩和加试成绩合格者，将复试总成绩和初试成绩按权重计算后相加，得出考生入学考试总成绩。入学考试总成绩计算公式为：（初试分数/初试总分值）*50+（复试总分/250）*50。</w:t>
      </w:r>
    </w:p>
    <w:p>
      <w:pPr>
        <w:widowControl/>
        <w:spacing w:line="480" w:lineRule="auto"/>
        <w:ind w:firstLine="627" w:firstLineChars="200"/>
        <w:jc w:val="left"/>
        <w:rPr>
          <w:rFonts w:ascii="仿宋" w:hAnsi="仿宋" w:eastAsia="仿宋"/>
          <w:b/>
          <w:bCs/>
          <w:color w:val="000000"/>
          <w:spacing w:val="-4"/>
          <w:sz w:val="32"/>
          <w:szCs w:val="32"/>
        </w:rPr>
      </w:pPr>
      <w:r>
        <w:rPr>
          <w:rFonts w:hint="eastAsia" w:ascii="仿宋" w:hAnsi="仿宋" w:eastAsia="仿宋"/>
          <w:b/>
          <w:bCs/>
          <w:color w:val="000000"/>
          <w:spacing w:val="-4"/>
          <w:sz w:val="32"/>
          <w:szCs w:val="32"/>
        </w:rPr>
        <w:t>七、调剂录取原则</w:t>
      </w:r>
    </w:p>
    <w:p>
      <w:pPr>
        <w:ind w:firstLine="560" w:firstLineChars="200"/>
        <w:rPr>
          <w:rFonts w:ascii="仿宋" w:hAnsi="仿宋" w:eastAsia="仿宋" w:cs="Arial"/>
          <w:color w:val="000000"/>
          <w:kern w:val="0"/>
          <w:sz w:val="28"/>
          <w:szCs w:val="28"/>
        </w:rPr>
      </w:pPr>
      <w:r>
        <w:rPr>
          <w:rFonts w:hint="eastAsia" w:ascii="仿宋" w:hAnsi="仿宋" w:eastAsia="仿宋" w:cs="Arial"/>
          <w:color w:val="000000"/>
          <w:kern w:val="0"/>
          <w:sz w:val="28"/>
          <w:szCs w:val="28"/>
        </w:rPr>
        <w:t>录取时分专业按考生入学考试总成绩排序，依次录取。</w:t>
      </w:r>
    </w:p>
    <w:p>
      <w:pPr>
        <w:ind w:firstLine="560" w:firstLineChars="200"/>
        <w:rPr>
          <w:rFonts w:ascii="仿宋" w:hAnsi="仿宋" w:eastAsia="仿宋" w:cs="Arial"/>
          <w:color w:val="000000"/>
          <w:kern w:val="0"/>
          <w:sz w:val="28"/>
          <w:szCs w:val="28"/>
        </w:rPr>
      </w:pPr>
      <w:r>
        <w:rPr>
          <w:rFonts w:hint="eastAsia" w:ascii="仿宋" w:hAnsi="仿宋" w:eastAsia="仿宋" w:cs="Arial"/>
          <w:color w:val="000000"/>
          <w:kern w:val="0"/>
          <w:sz w:val="28"/>
          <w:szCs w:val="28"/>
        </w:rPr>
        <w:t>复试结果及总成绩排序由学院及时张榜公布。学院根据招生计划、复试录取细则以及考生的思想政治表现和身体健康状况等确定拟录取名单。</w:t>
      </w:r>
    </w:p>
    <w:p>
      <w:pPr>
        <w:spacing w:line="360" w:lineRule="auto"/>
        <w:ind w:firstLine="627" w:firstLineChars="200"/>
        <w:rPr>
          <w:sz w:val="32"/>
          <w:szCs w:val="32"/>
        </w:rPr>
      </w:pPr>
      <w:r>
        <w:rPr>
          <w:rFonts w:hint="eastAsia" w:ascii="仿宋" w:hAnsi="仿宋" w:eastAsia="仿宋"/>
          <w:b/>
          <w:bCs/>
          <w:color w:val="000000"/>
          <w:spacing w:val="-4"/>
          <w:sz w:val="32"/>
          <w:szCs w:val="32"/>
        </w:rPr>
        <w:t>八、信息公开公示及申诉途径</w:t>
      </w:r>
    </w:p>
    <w:p>
      <w:pPr>
        <w:ind w:firstLine="560" w:firstLineChars="200"/>
        <w:rPr>
          <w:rFonts w:ascii="仿宋" w:hAnsi="仿宋" w:eastAsia="仿宋" w:cs="Arial"/>
          <w:color w:val="000000"/>
          <w:kern w:val="0"/>
          <w:sz w:val="28"/>
          <w:szCs w:val="28"/>
        </w:rPr>
      </w:pPr>
      <w:r>
        <w:rPr>
          <w:rFonts w:hint="eastAsia" w:ascii="仿宋" w:hAnsi="仿宋" w:eastAsia="仿宋" w:cs="Arial"/>
          <w:color w:val="000000"/>
          <w:kern w:val="0"/>
          <w:sz w:val="28"/>
          <w:szCs w:val="28"/>
        </w:rPr>
        <w:t>本院调剂招生信息在学院网上公开发布，调剂录取名单会在学院网上公示10个工作日，有异议的考生可于公示期内向人文学院研究生办公室以书面形式进行反映，反映情况要求实事求是，以便调查核实。人文学院申诉电话：0791-83968827（工作时间接听），联系人：舒老师，</w:t>
      </w:r>
      <w:r>
        <w:fldChar w:fldCharType="begin"/>
      </w:r>
      <w:r>
        <w:instrText xml:space="preserve"> HYPERLINK "mailto:邮箱794161373@qq.com" </w:instrText>
      </w:r>
      <w:r>
        <w:fldChar w:fldCharType="separate"/>
      </w:r>
      <w:r>
        <w:rPr>
          <w:rFonts w:hint="eastAsia" w:ascii="仿宋" w:hAnsi="仿宋" w:eastAsia="仿宋" w:cs="Arial"/>
          <w:color w:val="000000"/>
          <w:kern w:val="0"/>
          <w:sz w:val="28"/>
          <w:szCs w:val="28"/>
        </w:rPr>
        <w:t>邮箱：729919370@qq.com</w:t>
      </w:r>
      <w:r>
        <w:rPr>
          <w:rFonts w:hint="eastAsia" w:ascii="仿宋" w:hAnsi="仿宋" w:eastAsia="仿宋" w:cs="Arial"/>
          <w:color w:val="000000"/>
          <w:kern w:val="0"/>
          <w:sz w:val="28"/>
          <w:szCs w:val="28"/>
        </w:rPr>
        <w:fldChar w:fldCharType="end"/>
      </w:r>
      <w:r>
        <w:rPr>
          <w:rFonts w:hint="eastAsia" w:ascii="仿宋" w:hAnsi="仿宋" w:eastAsia="仿宋" w:cs="Arial"/>
          <w:color w:val="000000"/>
          <w:kern w:val="0"/>
          <w:sz w:val="28"/>
          <w:szCs w:val="28"/>
        </w:rPr>
        <w:t>。</w:t>
      </w:r>
    </w:p>
    <w:p>
      <w:pPr>
        <w:ind w:firstLine="600" w:firstLineChars="200"/>
        <w:rPr>
          <w:rFonts w:ascii="仿宋" w:hAnsi="仿宋" w:eastAsia="仿宋" w:cs="仿宋"/>
          <w:sz w:val="30"/>
          <w:szCs w:val="30"/>
        </w:rPr>
      </w:pPr>
    </w:p>
    <w:p>
      <w:pPr>
        <w:ind w:firstLine="560" w:firstLineChars="200"/>
        <w:rPr>
          <w:rFonts w:ascii="仿宋" w:hAnsi="仿宋" w:eastAsia="仿宋" w:cs="Arial"/>
          <w:color w:val="000000"/>
          <w:kern w:val="0"/>
          <w:sz w:val="28"/>
          <w:szCs w:val="28"/>
        </w:rPr>
      </w:pPr>
    </w:p>
    <w:p>
      <w:pPr>
        <w:spacing w:line="360" w:lineRule="auto"/>
        <w:ind w:firstLine="360" w:firstLineChars="150"/>
        <w:rPr>
          <w:rFonts w:ascii="宋体" w:hAnsi="宋体" w:eastAsia="宋体" w:cs="宋体"/>
          <w:sz w:val="24"/>
          <w:szCs w:val="24"/>
        </w:rPr>
      </w:pPr>
    </w:p>
    <w:p>
      <w:pPr>
        <w:spacing w:line="360" w:lineRule="auto"/>
        <w:ind w:firstLine="5400" w:firstLineChars="1800"/>
        <w:rPr>
          <w:rFonts w:ascii="宋体" w:hAnsi="宋体" w:eastAsia="宋体" w:cs="宋体"/>
          <w:sz w:val="30"/>
          <w:szCs w:val="30"/>
        </w:rPr>
      </w:pPr>
    </w:p>
    <w:p>
      <w:pPr>
        <w:spacing w:line="360" w:lineRule="auto"/>
        <w:ind w:firstLine="5700" w:firstLineChars="1900"/>
        <w:rPr>
          <w:rFonts w:ascii="宋体" w:hAnsi="宋体" w:eastAsia="宋体" w:cs="宋体"/>
          <w:sz w:val="30"/>
          <w:szCs w:val="30"/>
        </w:rPr>
      </w:pPr>
      <w:r>
        <w:rPr>
          <w:rFonts w:hint="eastAsia" w:ascii="宋体" w:hAnsi="宋体" w:eastAsia="宋体" w:cs="宋体"/>
          <w:sz w:val="30"/>
          <w:szCs w:val="30"/>
        </w:rPr>
        <w:t>南昌大学人文学院</w:t>
      </w:r>
    </w:p>
    <w:p>
      <w:pPr>
        <w:spacing w:line="360" w:lineRule="auto"/>
        <w:ind w:firstLine="6000" w:firstLineChars="2000"/>
        <w:rPr>
          <w:rFonts w:ascii="宋体" w:hAnsi="宋体" w:eastAsia="宋体" w:cs="宋体"/>
          <w:sz w:val="30"/>
          <w:szCs w:val="30"/>
        </w:rPr>
      </w:pPr>
      <w:r>
        <w:rPr>
          <w:rFonts w:hint="eastAsia" w:ascii="宋体" w:hAnsi="宋体" w:eastAsia="宋体" w:cs="宋体"/>
          <w:sz w:val="30"/>
          <w:szCs w:val="30"/>
        </w:rPr>
        <w:t>2021年4月1日</w:t>
      </w:r>
    </w:p>
    <w:p>
      <w:pPr>
        <w:pStyle w:val="4"/>
        <w:spacing w:before="0" w:beforeAutospacing="0" w:after="0" w:afterAutospacing="0" w:line="360" w:lineRule="auto"/>
        <w:ind w:firstLine="480"/>
        <w:jc w:val="both"/>
        <w:rPr>
          <w:rFonts w:ascii="Calibri" w:hAnsi="Calibri" w:cs="Calibri"/>
        </w:rPr>
      </w:pPr>
    </w:p>
    <w:p>
      <w:pPr>
        <w:pStyle w:val="4"/>
        <w:spacing w:before="0" w:beforeAutospacing="0" w:after="0" w:afterAutospacing="0" w:line="456" w:lineRule="auto"/>
        <w:ind w:firstLine="560"/>
        <w:rPr>
          <w:rFonts w:ascii="仿宋" w:hAnsi="仿宋" w:eastAsia="仿宋" w:cs="Arial"/>
          <w:color w:val="000000"/>
          <w:sz w:val="28"/>
          <w:szCs w:val="28"/>
        </w:rPr>
      </w:pPr>
      <w:r>
        <w:rPr>
          <w:rFonts w:hint="eastAsia" w:ascii="仿宋" w:hAnsi="仿宋" w:eastAsia="仿宋" w:cs="Arial"/>
          <w:color w:val="000000"/>
          <w:sz w:val="28"/>
          <w:szCs w:val="28"/>
        </w:rPr>
        <w:t>。</w:t>
      </w:r>
    </w:p>
    <w:p>
      <w:pPr>
        <w:pStyle w:val="4"/>
        <w:spacing w:before="0" w:beforeAutospacing="0" w:after="0" w:afterAutospacing="0" w:line="456" w:lineRule="auto"/>
        <w:ind w:firstLine="560"/>
        <w:rPr>
          <w:rFonts w:ascii="仿宋" w:hAnsi="仿宋" w:eastAsia="仿宋" w:cs="Arial"/>
          <w:color w:val="00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50E4E"/>
    <w:multiLevelType w:val="singleLevel"/>
    <w:tmpl w:val="8F850E4E"/>
    <w:lvl w:ilvl="0" w:tentative="0">
      <w:start w:val="2"/>
      <w:numFmt w:val="chineseCounting"/>
      <w:suff w:val="nothing"/>
      <w:lvlText w:val="%1、"/>
      <w:lvlJc w:val="left"/>
      <w:rPr>
        <w:rFonts w:hint="eastAsia"/>
      </w:rPr>
    </w:lvl>
  </w:abstractNum>
  <w:abstractNum w:abstractNumId="1">
    <w:nsid w:val="AF1BE31F"/>
    <w:multiLevelType w:val="singleLevel"/>
    <w:tmpl w:val="AF1BE31F"/>
    <w:lvl w:ilvl="0" w:tentative="0">
      <w:start w:val="1"/>
      <w:numFmt w:val="decimal"/>
      <w:lvlText w:val="%1."/>
      <w:lvlJc w:val="left"/>
      <w:pPr>
        <w:tabs>
          <w:tab w:val="left" w:pos="312"/>
        </w:tabs>
        <w:ind w:left="-90"/>
      </w:pPr>
    </w:lvl>
  </w:abstractNum>
  <w:abstractNum w:abstractNumId="2">
    <w:nsid w:val="5AB4176C"/>
    <w:multiLevelType w:val="singleLevel"/>
    <w:tmpl w:val="5AB4176C"/>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E6445"/>
    <w:rsid w:val="000D6E02"/>
    <w:rsid w:val="000F42F5"/>
    <w:rsid w:val="00226FBB"/>
    <w:rsid w:val="004F5A86"/>
    <w:rsid w:val="005E6865"/>
    <w:rsid w:val="00672D68"/>
    <w:rsid w:val="007A3C1F"/>
    <w:rsid w:val="009D436F"/>
    <w:rsid w:val="00A050E4"/>
    <w:rsid w:val="00B47B37"/>
    <w:rsid w:val="00B9118D"/>
    <w:rsid w:val="00C7686B"/>
    <w:rsid w:val="00E078E2"/>
    <w:rsid w:val="00F04EDD"/>
    <w:rsid w:val="00F14807"/>
    <w:rsid w:val="00F60E8B"/>
    <w:rsid w:val="02A859B9"/>
    <w:rsid w:val="030B6F22"/>
    <w:rsid w:val="04D1775D"/>
    <w:rsid w:val="04F137D0"/>
    <w:rsid w:val="06FB6896"/>
    <w:rsid w:val="08CD5797"/>
    <w:rsid w:val="0905084F"/>
    <w:rsid w:val="0AF671C5"/>
    <w:rsid w:val="0BA71E33"/>
    <w:rsid w:val="0F432BDB"/>
    <w:rsid w:val="109158C1"/>
    <w:rsid w:val="122B0DA9"/>
    <w:rsid w:val="12845322"/>
    <w:rsid w:val="13763690"/>
    <w:rsid w:val="14F5386B"/>
    <w:rsid w:val="15A516F5"/>
    <w:rsid w:val="16795302"/>
    <w:rsid w:val="16D12AD5"/>
    <w:rsid w:val="198608D2"/>
    <w:rsid w:val="199346BF"/>
    <w:rsid w:val="1DB25708"/>
    <w:rsid w:val="1FB257CE"/>
    <w:rsid w:val="2575359E"/>
    <w:rsid w:val="298B0F53"/>
    <w:rsid w:val="298B7396"/>
    <w:rsid w:val="2A32393A"/>
    <w:rsid w:val="2BF558E0"/>
    <w:rsid w:val="2E683F6A"/>
    <w:rsid w:val="2EBF1ADF"/>
    <w:rsid w:val="2F651E44"/>
    <w:rsid w:val="32CD06FA"/>
    <w:rsid w:val="33C970C0"/>
    <w:rsid w:val="35CC171B"/>
    <w:rsid w:val="35D47680"/>
    <w:rsid w:val="387C2A80"/>
    <w:rsid w:val="3A4345C6"/>
    <w:rsid w:val="3A466FFB"/>
    <w:rsid w:val="3B123F26"/>
    <w:rsid w:val="3B7A6D3E"/>
    <w:rsid w:val="3CCC3828"/>
    <w:rsid w:val="3F2802A6"/>
    <w:rsid w:val="41843369"/>
    <w:rsid w:val="43496679"/>
    <w:rsid w:val="44537023"/>
    <w:rsid w:val="456E4468"/>
    <w:rsid w:val="467475AC"/>
    <w:rsid w:val="46D55AE8"/>
    <w:rsid w:val="49FA4911"/>
    <w:rsid w:val="4A347FD8"/>
    <w:rsid w:val="4AFF754B"/>
    <w:rsid w:val="4CB15945"/>
    <w:rsid w:val="4CBB0BEE"/>
    <w:rsid w:val="4D65657A"/>
    <w:rsid w:val="4F4154E7"/>
    <w:rsid w:val="4FD665E9"/>
    <w:rsid w:val="51B75278"/>
    <w:rsid w:val="52167D3C"/>
    <w:rsid w:val="52282F30"/>
    <w:rsid w:val="5336214F"/>
    <w:rsid w:val="534509C5"/>
    <w:rsid w:val="58A929E1"/>
    <w:rsid w:val="59D00CD4"/>
    <w:rsid w:val="5A5E3592"/>
    <w:rsid w:val="5B144A93"/>
    <w:rsid w:val="5B1D2F0C"/>
    <w:rsid w:val="5E253386"/>
    <w:rsid w:val="613A1DAA"/>
    <w:rsid w:val="61A2793F"/>
    <w:rsid w:val="61F41260"/>
    <w:rsid w:val="63B95AC7"/>
    <w:rsid w:val="64AD316F"/>
    <w:rsid w:val="665E5AC0"/>
    <w:rsid w:val="67CB6FCB"/>
    <w:rsid w:val="68753D44"/>
    <w:rsid w:val="6928135A"/>
    <w:rsid w:val="694E47B0"/>
    <w:rsid w:val="6A3F3F38"/>
    <w:rsid w:val="6AFF0EBB"/>
    <w:rsid w:val="6DE05796"/>
    <w:rsid w:val="6EB82ECC"/>
    <w:rsid w:val="6F4E00FB"/>
    <w:rsid w:val="714E1319"/>
    <w:rsid w:val="71B858DF"/>
    <w:rsid w:val="71CF7B09"/>
    <w:rsid w:val="71D614CE"/>
    <w:rsid w:val="72B03365"/>
    <w:rsid w:val="72FF1701"/>
    <w:rsid w:val="73187CE4"/>
    <w:rsid w:val="74C91DD9"/>
    <w:rsid w:val="74E67B30"/>
    <w:rsid w:val="77525893"/>
    <w:rsid w:val="77567D9F"/>
    <w:rsid w:val="77A923B1"/>
    <w:rsid w:val="78196EC1"/>
    <w:rsid w:val="7A2E6445"/>
    <w:rsid w:val="7AF451D8"/>
    <w:rsid w:val="7B256E23"/>
    <w:rsid w:val="7CAB5A8B"/>
    <w:rsid w:val="7CE02D7A"/>
    <w:rsid w:val="7D00011A"/>
    <w:rsid w:val="7EDB6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qFormat/>
    <w:uiPriority w:val="0"/>
    <w:rPr>
      <w:color w:val="333333"/>
      <w:u w:val="none"/>
    </w:rPr>
  </w:style>
  <w:style w:type="character" w:styleId="9">
    <w:name w:val="Hyperlink"/>
    <w:basedOn w:val="7"/>
    <w:qFormat/>
    <w:uiPriority w:val="0"/>
    <w:rPr>
      <w:color w:val="333333"/>
      <w:u w:val="none"/>
    </w:rPr>
  </w:style>
  <w:style w:type="paragraph" w:styleId="10">
    <w:name w:val="List Paragraph"/>
    <w:basedOn w:val="1"/>
    <w:qFormat/>
    <w:uiPriority w:val="34"/>
    <w:pPr>
      <w:ind w:firstLine="420" w:firstLineChars="200"/>
    </w:pPr>
  </w:style>
  <w:style w:type="character" w:customStyle="1" w:styleId="11">
    <w:name w:val="页眉 Char"/>
    <w:basedOn w:val="7"/>
    <w:link w:val="3"/>
    <w:qFormat/>
    <w:uiPriority w:val="0"/>
    <w:rPr>
      <w:rFonts w:asciiTheme="minorHAnsi" w:hAnsiTheme="minorHAnsi" w:eastAsiaTheme="minorEastAsia" w:cstheme="minorBidi"/>
      <w:kern w:val="2"/>
      <w:sz w:val="18"/>
      <w:szCs w:val="18"/>
    </w:rPr>
  </w:style>
  <w:style w:type="character" w:customStyle="1" w:styleId="12">
    <w:name w:val="页脚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425</Words>
  <Characters>2427</Characters>
  <Lines>20</Lines>
  <Paragraphs>5</Paragraphs>
  <TotalTime>104</TotalTime>
  <ScaleCrop>false</ScaleCrop>
  <LinksUpToDate>false</LinksUpToDate>
  <CharactersWithSpaces>2847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2021-04-01T10:40:00Z</dcterms:created>
  <dc:creator>= =</dc:creator>
  <cp:lastModifiedBy>= =</cp:lastModifiedBy>
  <cp:lastPrinted>2021-04-02T01:22:48Z</cp:lastPrinted>
  <dcterms:modified xsi:type="dcterms:W3CDTF">2021-04-02T02:34:01Z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FC78731FE99F496A8B3BF36F22C38CA0</vt:lpwstr>
  </property>
</Properties>
</file>