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33"/>
        </w:tabs>
        <w:bidi w:val="0"/>
        <w:jc w:val="center"/>
        <w:rPr>
          <w:rFonts w:ascii="Verdana" w:hAnsi="Verdana" w:eastAsia="宋体" w:cs="Verdana"/>
          <w:b/>
          <w:i w:val="0"/>
          <w:caps w:val="0"/>
          <w:color w:val="000000"/>
          <w:spacing w:val="0"/>
          <w:sz w:val="40"/>
          <w:szCs w:val="40"/>
          <w:shd w:val="clear" w:fill="FFFFFF"/>
        </w:rPr>
      </w:pPr>
      <w:r>
        <w:rPr>
          <w:rFonts w:hint="eastAsia" w:ascii="Verdana" w:hAnsi="Verdana" w:eastAsia="宋体" w:cs="Verdana"/>
          <w:b/>
          <w:i w:val="0"/>
          <w:caps w:val="0"/>
          <w:color w:val="000000"/>
          <w:spacing w:val="0"/>
          <w:sz w:val="40"/>
          <w:szCs w:val="40"/>
          <w:shd w:val="clear" w:fill="FFFFFF"/>
        </w:rPr>
        <w:t>01 哲学</w:t>
      </w:r>
    </w:p>
    <w:tbl>
      <w:tblPr>
        <w:tblW w:w="4000" w:type="pct"/>
        <w:jc w:val="center"/>
        <w:tblCellSpacing w:w="0" w:type="dxa"/>
        <w:shd w:val="clear"/>
        <w:tblLayout w:type="autofit"/>
        <w:tblCellMar>
          <w:top w:w="0" w:type="dxa"/>
          <w:left w:w="0" w:type="dxa"/>
          <w:bottom w:w="0" w:type="dxa"/>
          <w:right w:w="0" w:type="dxa"/>
        </w:tblCellMar>
      </w:tblPr>
      <w:tblGrid>
        <w:gridCol w:w="900"/>
        <w:gridCol w:w="2092"/>
        <w:gridCol w:w="630"/>
        <w:gridCol w:w="4270"/>
        <w:gridCol w:w="900"/>
        <w:gridCol w:w="2093"/>
      </w:tblGrid>
      <w:tr>
        <w:tblPrEx>
          <w:shd w:val="clear"/>
          <w:tblCellMar>
            <w:top w:w="0" w:type="dxa"/>
            <w:left w:w="0" w:type="dxa"/>
            <w:bottom w:w="0" w:type="dxa"/>
            <w:right w:w="0" w:type="dxa"/>
          </w:tblCellMar>
        </w:tblPrEx>
        <w:trPr>
          <w:trHeight w:val="390" w:hRule="atLeast"/>
          <w:tblCellSpacing w:w="0" w:type="dxa"/>
          <w:jc w:val="center"/>
        </w:trPr>
        <w:tc>
          <w:tcPr>
            <w:tcW w:w="350" w:type="pct"/>
            <w:shd w:val="clear"/>
            <w:noWrap/>
            <w:vAlign w:val="center"/>
          </w:tcPr>
          <w:p>
            <w:pPr>
              <w:keepNext w:val="0"/>
              <w:keepLines w:val="0"/>
              <w:widowControl/>
              <w:suppressLineNumbers w:val="0"/>
              <w:spacing w:before="0" w:beforeAutospacing="0" w:after="0" w:afterAutospacing="0" w:line="270" w:lineRule="atLeast"/>
              <w:ind w:left="0" w:right="0"/>
              <w:jc w:val="left"/>
              <w:rPr>
                <w:rFonts w:ascii="Verdana" w:hAnsi="Verdana" w:cs="Verdana"/>
                <w:sz w:val="18"/>
                <w:szCs w:val="18"/>
              </w:rPr>
            </w:pPr>
            <w:r>
              <w:rPr>
                <w:rFonts w:hint="default" w:ascii="Verdana" w:hAnsi="Verdana" w:eastAsia="宋体" w:cs="Verdana"/>
                <w:kern w:val="0"/>
                <w:sz w:val="18"/>
                <w:szCs w:val="18"/>
                <w:bdr w:val="none" w:color="auto" w:sz="0" w:space="0"/>
                <w:lang w:val="en-US" w:eastAsia="zh-CN" w:bidi="ar"/>
              </w:rPr>
              <w:t>单位代码：</w:t>
            </w:r>
          </w:p>
        </w:tc>
        <w:tc>
          <w:tcPr>
            <w:tcW w:w="1000" w:type="pct"/>
            <w:shd w:val="clear"/>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10574</w:t>
            </w:r>
          </w:p>
        </w:tc>
        <w:tc>
          <w:tcPr>
            <w:tcW w:w="250" w:type="pct"/>
            <w:shd w:val="clear"/>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地 址：</w:t>
            </w:r>
          </w:p>
        </w:tc>
        <w:tc>
          <w:tcPr>
            <w:tcW w:w="2000" w:type="pct"/>
            <w:shd w:val="clear"/>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中国广州</w:t>
            </w:r>
          </w:p>
        </w:tc>
        <w:tc>
          <w:tcPr>
            <w:tcW w:w="400" w:type="pct"/>
            <w:shd w:val="clear"/>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邮政编码：</w:t>
            </w:r>
          </w:p>
        </w:tc>
        <w:tc>
          <w:tcPr>
            <w:tcW w:w="1000" w:type="pct"/>
            <w:shd w:val="clear"/>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510631</w:t>
            </w:r>
          </w:p>
        </w:tc>
      </w:tr>
      <w:tr>
        <w:tblPrEx>
          <w:shd w:val="clear"/>
          <w:tblCellMar>
            <w:top w:w="0" w:type="dxa"/>
            <w:left w:w="0" w:type="dxa"/>
            <w:bottom w:w="0" w:type="dxa"/>
            <w:right w:w="0" w:type="dxa"/>
          </w:tblCellMar>
        </w:tblPrEx>
        <w:trPr>
          <w:tblCellSpacing w:w="0" w:type="dxa"/>
          <w:jc w:val="center"/>
        </w:trPr>
        <w:tc>
          <w:tcPr>
            <w:tcW w:w="0" w:type="auto"/>
            <w:shd w:val="clear"/>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联系部门：</w:t>
            </w:r>
          </w:p>
        </w:tc>
        <w:tc>
          <w:tcPr>
            <w:tcW w:w="0" w:type="auto"/>
            <w:shd w:val="clear"/>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招生考试处</w:t>
            </w:r>
          </w:p>
        </w:tc>
        <w:tc>
          <w:tcPr>
            <w:tcW w:w="0" w:type="auto"/>
            <w:shd w:val="clear"/>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电 话：</w:t>
            </w:r>
          </w:p>
        </w:tc>
        <w:tc>
          <w:tcPr>
            <w:tcW w:w="0" w:type="auto"/>
            <w:shd w:val="clear"/>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020-85213863</w:t>
            </w:r>
          </w:p>
        </w:tc>
        <w:tc>
          <w:tcPr>
            <w:tcW w:w="0" w:type="auto"/>
            <w:shd w:val="clear"/>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联 系 人：</w:t>
            </w:r>
          </w:p>
        </w:tc>
        <w:tc>
          <w:tcPr>
            <w:tcW w:w="0" w:type="auto"/>
            <w:shd w:val="clear"/>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招生考试处</w:t>
            </w:r>
          </w:p>
        </w:tc>
      </w:tr>
    </w:tbl>
    <w:p>
      <w:pPr>
        <w:rPr>
          <w:vanish/>
          <w:sz w:val="24"/>
          <w:szCs w:val="24"/>
        </w:rPr>
      </w:pPr>
    </w:p>
    <w:tbl>
      <w:tblPr>
        <w:tblW w:w="13785"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(001)哲学与社会发展学院</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99"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联系电话020-85211425|联系人:孙老师</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010101</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99"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马克思主义哲学</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1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bdr w:val="none" w:color="auto" w:sz="0" w:space="0"/>
              </w:rPr>
              <w:t>马克思主义哲学专业学科是哲学的二级学科，本学科包括马克思主义哲学的理论、历史和应用三个方面。根据现有条件，设四个个培养方向：马克思主义人学、政治哲学、道德哲学、发展哲学。要求研究生系统地掌握马克思主义唯物论、辩证法、认识论、价值论、道德论、历史观、宗教论等的基本观点、基本立场和基本方法，培养其独立地分析问题和解决问题的能力。</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马克思主义人学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00101  马克思主义哲学史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政治哲学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00101  马克思主义哲学史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道德哲学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00101  马克思主义哲学史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发展哲学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00101  马克思主义哲学史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bookmarkStart w:id="0" w:name="_GoBack"/>
            <w:bookmarkEnd w:id="0"/>
            <w:r>
              <w:rPr>
                <w:rFonts w:hint="default" w:ascii="Verdana" w:hAnsi="Verdana" w:eastAsia="宋体" w:cs="Verdana"/>
                <w:caps w:val="0"/>
                <w:spacing w:val="0"/>
                <w:kern w:val="0"/>
                <w:sz w:val="18"/>
                <w:szCs w:val="18"/>
                <w:bdr w:val="none" w:color="auto" w:sz="0" w:space="0"/>
                <w:lang w:val="en-US" w:eastAsia="zh-CN" w:bidi="ar"/>
              </w:rPr>
              <w:t>学院：</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(001)哲学与社会发展学院</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99"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联系电话020-85211425|联系人:孙老师</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010102</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99"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中国哲学</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1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bdr w:val="none" w:color="auto" w:sz="0" w:space="0"/>
              </w:rPr>
              <w:t>培养坚持正确的政治方向、德智体美全面发展、既有扎实的中国哲学与中国文化功夫，又有宽阔的知识面的一专多能的人才，毕业以后再高等院校、中等学校、新闻出版、政府机关等地方从事专业技术工作或行政管理工作。</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中国古代哲学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00102  中国哲学史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经典与解释</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00102  中国哲学史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佛学与宗教</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00102  中国哲学史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中国古代政治及管理思想</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00102  中国哲学史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(001)哲学与社会发展学院</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99"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联系电话020-85211425|联系人:孙老师</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010103</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99"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外国哲学</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1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9</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bdr w:val="none" w:color="auto" w:sz="0" w:space="0"/>
              </w:rPr>
              <w:t>华南师范大学外国哲学硕士专业有着二十多年的招生历史，师资力量雄厚，以研究德国古典哲学、法国现当代哲学、西方政治哲学、英美分析哲学见长。外国哲学专业研究生的培养强调本专业基础理论和专业知识的学习与训练，培养德智体美全面发展、身心健康的从事外国哲学教学-研究、行政管理工作、文化决策-管理-咨询、教育管理、报社杂志社出版社编辑、新闻媒介评论等工作的高级专门人才。</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西方哲学史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00202  现代西方哲学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bdr w:val="none" w:color="auto" w:sz="0" w:space="0"/>
                    </w:rPr>
                  </w:pPr>
                  <w:r>
                    <w:rPr>
                      <w:bdr w:val="none" w:color="auto" w:sz="0" w:space="0"/>
                    </w:rPr>
                    <w:t>本专业拟招推免生1名，不招同等学力。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现代西方哲学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00202  现代西方哲学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bdr w:val="none" w:color="auto" w:sz="0" w:space="0"/>
                    </w:rPr>
                  </w:pPr>
                  <w:r>
                    <w:rPr>
                      <w:bdr w:val="none" w:color="auto" w:sz="0" w:space="0"/>
                    </w:rPr>
                    <w:t>本专业拟招推免生1名，不招同等学力。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法国哲学与现象学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00202  现代西方哲学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bdr w:val="none" w:color="auto" w:sz="0" w:space="0"/>
                    </w:rPr>
                  </w:pPr>
                  <w:r>
                    <w:rPr>
                      <w:bdr w:val="none" w:color="auto" w:sz="0" w:space="0"/>
                    </w:rPr>
                    <w:t>本专业拟招推免生1名，不招同等学力。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中西哲学比较</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00202  现代西方哲学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bdr w:val="none" w:color="auto" w:sz="0" w:space="0"/>
                    </w:rPr>
                  </w:pPr>
                  <w:r>
                    <w:rPr>
                      <w:bdr w:val="none" w:color="auto" w:sz="0" w:space="0"/>
                    </w:rPr>
                    <w:t>本专业拟招推免生1名，不招同等学力。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德国古典哲学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00202  现代西方哲学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德国现代哲学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00202  现代西方哲学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(001)哲学与社会发展学院</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99"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联系电话020-85211425|联系人:孙老师</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010104</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99"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逻辑学</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1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bdr w:val="none" w:color="auto" w:sz="0" w:space="0"/>
              </w:rPr>
              <w:t>本专业下设形式逻辑与逻辑哲学、语言逻辑、法律逻辑和决策逻辑四个研究方向，旨在培养具有较高哲学理论素养，较宽厚逻辑学功底的理论人才、学术人才以及实际工作领域人才。本专业导师有比较广阔的专业背景，有丰富的实际工作经验和教学经验。本专业学生主要学习逻辑学、哲学等方面的基本理论和基础知识，受到公理化方法、形式化方法和语义分析方面的基本训练，比较系统地掌握逻辑学专业的基础知识、专业知识以及马克思主义哲学的基本理论和方法，了解当代世界主要逻辑和哲学思潮，具有一定的社会科学、自然科学和思维科学的基础知识，有较强的理论思维能力、社会活动能力、表达能力和专业研究的基本能力。</w:t>
            </w:r>
          </w:p>
        </w:tc>
      </w:tr>
      <w:tr>
        <w:tblPrEx>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形式逻辑与逻辑哲学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00103  形式逻辑</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语言逻辑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00103  形式逻辑</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法律逻辑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00103  形式逻辑</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决策逻辑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00103  形式逻辑</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(001)哲学与社会发展学院</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99"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联系电话020-85211425|联系人:孙老师</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010105</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99"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伦理学</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1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caps w:val="0"/>
                <w:spacing w:val="0"/>
                <w:bdr w:val="none" w:color="auto" w:sz="0" w:space="0"/>
              </w:rPr>
            </w:pPr>
            <w:r>
              <w:rPr>
                <w:caps w:val="0"/>
                <w:spacing w:val="0"/>
                <w:bdr w:val="none" w:color="auto" w:sz="0" w:space="0"/>
              </w:rPr>
              <w:t xml:space="preserve">   着力于培养学生拥有广博扎实的哲学社会科学功底，具有良好的公民意识和社会责任感，掌握系统的伦理学及相关学科专业知识，了解伦理学发展的前沿动态，具有较高的研究能力和较强的适应能力，能独立从事伦理学、哲学和思想政治教育的大专院校教学科研、中小学教学以及公务员系统、新闻出版和各大企事业单位的行政管理和理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caps w:val="0"/>
                <w:spacing w:val="0"/>
                <w:bdr w:val="none" w:color="auto" w:sz="0" w:space="0"/>
              </w:rPr>
            </w:pPr>
            <w:r>
              <w:rPr>
                <w:caps w:val="0"/>
                <w:spacing w:val="0"/>
                <w:bdr w:val="none" w:color="auto" w:sz="0" w:space="0"/>
              </w:rPr>
              <w:t xml:space="preserve">    下设伦理学基础理论研究、实践（应用）伦理学研究、中国伦理思想研究、西方伦理思想研究、中西伦理思想比较研究和当代中国道德建设研究等6个研究方向。在哲学二级学科中具有综合性强、交叉性明显、实践性突出、培养口径宽广、适应面宽泛等特点，课程和研究方向涵盖中西、兼具理论和实践，国际学术意识和本土根基相结合，学科发展方向明确，建设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bdr w:val="none" w:color="auto" w:sz="0" w:space="0"/>
              </w:rPr>
              <w:t xml:space="preserve">    师资队伍学术背景优良、实力雄厚。现有教授3人，讲师2人，4人具有博士学位，多毕业于北大、清华等国内名校，曾到哈佛大学等世界名校访问交流，学术声誉和社会影响良好。自2000年获得硕士学位授予权以来已招收硕士生120多人（含外国留学生1人），毕业后不少学生考入国内外名校继续深造，其余大部分学生毕业之后都顺利参加工作，逐渐成长为高等院校和中学的骨干教师以及各级企事业单位骨干人员。</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伦理学基础理论研究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西方伦理学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中国伦理学史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中外伦理思想比较研究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实践伦理学研究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当代中国道德建设</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(038)科学技术与社会研究院</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99"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联系电话020-39310373|联系人:吴老师，梁老师</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010108</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99"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科学技术哲学</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1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14</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系统科学哲学与系统管理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03801  科学哲学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01-05方向总共拟招生14名，其中含拟招推免生3名。不招同等学力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科学哲学与技术哲学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03801  科学哲学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01-05方向总共拟招生14名，其中含拟招推免生3名。不招同等学力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科技创新与绿色发展</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03801  科学哲学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01-05方向总共拟招生14名，其中含拟招推免生3名。不招同等学力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科技伦理与决策</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03801  科学哲学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01-05方向总共拟招生14名，其中含拟招推免生3名。不招同等学力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生态学哲学与可持续发展</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03801  科学哲学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01-05方向总共拟招生14名，其中含拟招推免生3名。不招同等学力</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(008)文学院</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99"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联系电话020-39310283|联系人:何老师</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010106</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99"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美学</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1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5000" w:type="pct"/>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文艺美学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614  美学原理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839  文学理论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00811  中西美学史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中国美学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614  美学原理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839  文学理论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00811  中西美学史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西方美学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614  美学原理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839  文学理论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00811  中西美学史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马克思主义美学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614  美学原理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839  文学理论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00811  中西美学史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bl>
          <w:p>
            <w:pPr>
              <w:jc w:val="left"/>
              <w:rPr>
                <w:rFonts w:hint="default" w:ascii="Verdana" w:hAnsi="Verdana" w:cs="Verdana"/>
                <w:caps w:val="0"/>
                <w:spacing w:val="0"/>
                <w:sz w:val="18"/>
                <w:szCs w:val="18"/>
              </w:rPr>
            </w:pPr>
          </w:p>
        </w:tc>
      </w:tr>
    </w:tbl>
    <w:p>
      <w:pPr>
        <w:tabs>
          <w:tab w:val="left" w:pos="1633"/>
        </w:tabs>
        <w:bidi w:val="0"/>
        <w:jc w:val="left"/>
        <w:rPr>
          <w:rFonts w:ascii="Verdana" w:hAnsi="Verdana" w:eastAsia="宋体" w:cs="Verdana"/>
          <w:b/>
          <w:i w:val="0"/>
          <w:caps w:val="0"/>
          <w:color w:val="000000"/>
          <w:spacing w:val="0"/>
          <w:sz w:val="18"/>
          <w:szCs w:val="18"/>
          <w:shd w:val="clear" w:fill="FFFFFF"/>
          <w:lang w:val="en-US" w:eastAsia="zh-CN"/>
        </w:rPr>
      </w:pPr>
    </w:p>
    <w:sectPr>
      <w:pgSz w:w="14740" w:h="16838"/>
      <w:pgMar w:top="56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54662"/>
    <w:rsid w:val="203E407E"/>
    <w:rsid w:val="268C2705"/>
    <w:rsid w:val="30D00D2E"/>
    <w:rsid w:val="56254662"/>
    <w:rsid w:val="6C6F5313"/>
    <w:rsid w:val="7F0C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2019-09-18T01:31:00Z</dcterms:created>
  <dc:creator>Asoul</dc:creator>
  <cp:lastModifiedBy>Asoul</cp:lastModifiedBy>
  <dcterms:modified xsi:type="dcterms:W3CDTF">2020-09-23T07:37:26Z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