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9DBE2" w14:textId="35856D58" w:rsidR="001C6D1C" w:rsidRPr="00A10FB7" w:rsidRDefault="00E9401A" w:rsidP="009A445E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A10FB7">
        <w:rPr>
          <w:rFonts w:ascii="华文中宋" w:eastAsia="华文中宋" w:hAnsi="华文中宋"/>
          <w:b/>
          <w:sz w:val="28"/>
          <w:szCs w:val="28"/>
        </w:rPr>
        <w:t>西南财经大学</w:t>
      </w:r>
      <w:r w:rsidR="00335422" w:rsidRPr="00A10FB7">
        <w:rPr>
          <w:rFonts w:ascii="华文中宋" w:eastAsia="华文中宋" w:hAnsi="华文中宋" w:hint="eastAsia"/>
          <w:b/>
          <w:sz w:val="28"/>
          <w:szCs w:val="28"/>
        </w:rPr>
        <w:t>20</w:t>
      </w:r>
      <w:r w:rsidR="00404D3E" w:rsidRPr="00A10FB7">
        <w:rPr>
          <w:rFonts w:ascii="华文中宋" w:eastAsia="华文中宋" w:hAnsi="华文中宋" w:hint="eastAsia"/>
          <w:b/>
          <w:sz w:val="28"/>
          <w:szCs w:val="28"/>
        </w:rPr>
        <w:t>2</w:t>
      </w:r>
      <w:r w:rsidR="00952032" w:rsidRPr="00A10FB7">
        <w:rPr>
          <w:rFonts w:ascii="华文中宋" w:eastAsia="华文中宋" w:hAnsi="华文中宋"/>
          <w:b/>
          <w:sz w:val="28"/>
          <w:szCs w:val="28"/>
        </w:rPr>
        <w:t>1</w:t>
      </w:r>
      <w:r w:rsidR="00335422" w:rsidRPr="00A10FB7">
        <w:rPr>
          <w:rFonts w:ascii="华文中宋" w:eastAsia="华文中宋" w:hAnsi="华文中宋" w:hint="eastAsia"/>
          <w:b/>
          <w:sz w:val="28"/>
          <w:szCs w:val="28"/>
        </w:rPr>
        <w:t>年</w:t>
      </w:r>
      <w:r w:rsidR="007175F4" w:rsidRPr="00A10FB7">
        <w:rPr>
          <w:rFonts w:ascii="华文中宋" w:eastAsia="华文中宋" w:hAnsi="华文中宋" w:hint="eastAsia"/>
          <w:b/>
          <w:sz w:val="28"/>
          <w:szCs w:val="28"/>
        </w:rPr>
        <w:t>硕士</w:t>
      </w:r>
      <w:r w:rsidR="009A445E" w:rsidRPr="00A10FB7">
        <w:rPr>
          <w:rFonts w:ascii="华文中宋" w:eastAsia="华文中宋" w:hAnsi="华文中宋"/>
          <w:b/>
          <w:sz w:val="28"/>
          <w:szCs w:val="28"/>
        </w:rPr>
        <w:t>研究生</w:t>
      </w:r>
      <w:r w:rsidR="00710752" w:rsidRPr="00A10FB7">
        <w:rPr>
          <w:rFonts w:ascii="华文中宋" w:eastAsia="华文中宋" w:hAnsi="华文中宋" w:hint="eastAsia"/>
          <w:b/>
          <w:sz w:val="28"/>
          <w:szCs w:val="28"/>
        </w:rPr>
        <w:t>入学统一考试</w:t>
      </w:r>
    </w:p>
    <w:p w14:paraId="17E52A52" w14:textId="77777777" w:rsidR="009A445E" w:rsidRPr="00A10FB7" w:rsidRDefault="001C6D1C" w:rsidP="009A445E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A10FB7">
        <w:rPr>
          <w:rFonts w:ascii="华文中宋" w:eastAsia="华文中宋" w:hAnsi="华文中宋" w:hint="eastAsia"/>
          <w:b/>
          <w:sz w:val="28"/>
          <w:szCs w:val="28"/>
        </w:rPr>
        <w:t>（805）</w:t>
      </w:r>
      <w:r w:rsidR="009A445E" w:rsidRPr="00A10FB7">
        <w:rPr>
          <w:rFonts w:ascii="华文中宋" w:eastAsia="华文中宋" w:hAnsi="华文中宋"/>
          <w:b/>
          <w:sz w:val="28"/>
          <w:szCs w:val="28"/>
        </w:rPr>
        <w:t>《</w:t>
      </w:r>
      <w:r w:rsidR="007175F4" w:rsidRPr="00A10FB7">
        <w:rPr>
          <w:rFonts w:ascii="华文中宋" w:eastAsia="华文中宋" w:hAnsi="华文中宋" w:hint="eastAsia"/>
          <w:b/>
          <w:sz w:val="28"/>
          <w:szCs w:val="28"/>
        </w:rPr>
        <w:t>财务与会计</w:t>
      </w:r>
      <w:r w:rsidR="009A445E" w:rsidRPr="00A10FB7">
        <w:rPr>
          <w:rFonts w:ascii="华文中宋" w:eastAsia="华文中宋" w:hAnsi="华文中宋"/>
          <w:b/>
          <w:sz w:val="28"/>
          <w:szCs w:val="28"/>
        </w:rPr>
        <w:t>》</w:t>
      </w:r>
      <w:r w:rsidR="00710752" w:rsidRPr="00A10FB7">
        <w:rPr>
          <w:rFonts w:ascii="华文中宋" w:eastAsia="华文中宋" w:hAnsi="华文中宋" w:hint="eastAsia"/>
          <w:b/>
          <w:sz w:val="28"/>
          <w:szCs w:val="28"/>
        </w:rPr>
        <w:t>科目</w:t>
      </w:r>
      <w:r w:rsidR="009A445E" w:rsidRPr="00A10FB7">
        <w:rPr>
          <w:rFonts w:ascii="华文中宋" w:eastAsia="华文中宋" w:hAnsi="华文中宋"/>
          <w:b/>
          <w:sz w:val="28"/>
          <w:szCs w:val="28"/>
        </w:rPr>
        <w:t>自行命题考试大纲</w:t>
      </w:r>
    </w:p>
    <w:p w14:paraId="4D954EA0" w14:textId="77777777" w:rsidR="009A445E" w:rsidRPr="00A10FB7" w:rsidRDefault="009A445E" w:rsidP="009A445E">
      <w:pPr>
        <w:rPr>
          <w:rFonts w:ascii="Times New Roman" w:hAnsi="Times New Roman"/>
        </w:rPr>
      </w:pPr>
    </w:p>
    <w:p w14:paraId="73F62ADC" w14:textId="77777777" w:rsidR="00FA348D" w:rsidRPr="00A10FB7" w:rsidRDefault="00FA348D" w:rsidP="00815EC0">
      <w:pPr>
        <w:spacing w:line="360" w:lineRule="auto"/>
        <w:rPr>
          <w:rFonts w:ascii="Times New Roman"/>
          <w:b/>
          <w:sz w:val="24"/>
          <w:szCs w:val="24"/>
        </w:rPr>
      </w:pPr>
      <w:r w:rsidRPr="00A10FB7">
        <w:rPr>
          <w:rFonts w:ascii="Times New Roman" w:hint="eastAsia"/>
          <w:b/>
          <w:sz w:val="24"/>
          <w:szCs w:val="24"/>
        </w:rPr>
        <w:t>一、考试性质</w:t>
      </w:r>
    </w:p>
    <w:p w14:paraId="45D738DA" w14:textId="77777777" w:rsidR="00FA348D" w:rsidRPr="00A10FB7" w:rsidRDefault="00FA348D" w:rsidP="000A5B1F">
      <w:pPr>
        <w:spacing w:line="360" w:lineRule="auto"/>
        <w:ind w:firstLineChars="200" w:firstLine="420"/>
        <w:rPr>
          <w:rFonts w:ascii="Times New Roman"/>
        </w:rPr>
      </w:pPr>
      <w:r w:rsidRPr="00A10FB7">
        <w:rPr>
          <w:rFonts w:ascii="Times New Roman"/>
        </w:rPr>
        <w:t>《</w:t>
      </w:r>
      <w:r w:rsidR="007175F4" w:rsidRPr="00A10FB7">
        <w:rPr>
          <w:rFonts w:ascii="Times New Roman" w:hint="eastAsia"/>
        </w:rPr>
        <w:t>财务与会计</w:t>
      </w:r>
      <w:r w:rsidRPr="00A10FB7">
        <w:rPr>
          <w:rFonts w:ascii="Times New Roman"/>
        </w:rPr>
        <w:t>》</w:t>
      </w:r>
      <w:r w:rsidRPr="00A10FB7">
        <w:rPr>
          <w:rFonts w:ascii="Times New Roman" w:hint="eastAsia"/>
        </w:rPr>
        <w:t>是</w:t>
      </w:r>
      <w:r w:rsidR="00D9785D" w:rsidRPr="00A10FB7">
        <w:rPr>
          <w:rFonts w:ascii="Times New Roman" w:hint="eastAsia"/>
        </w:rPr>
        <w:t>学术学位</w:t>
      </w:r>
      <w:bookmarkStart w:id="0" w:name="_GoBack"/>
      <w:bookmarkEnd w:id="0"/>
      <w:r w:rsidR="0051462B" w:rsidRPr="00A10FB7">
        <w:rPr>
          <w:rFonts w:ascii="Times New Roman" w:hint="eastAsia"/>
        </w:rPr>
        <w:t>硕士</w:t>
      </w:r>
      <w:r w:rsidR="00D9785D" w:rsidRPr="00A10FB7">
        <w:rPr>
          <w:rFonts w:ascii="Times New Roman"/>
        </w:rPr>
        <w:t>研究生</w:t>
      </w:r>
      <w:r w:rsidR="007175F4" w:rsidRPr="00A10FB7">
        <w:rPr>
          <w:rFonts w:ascii="Times New Roman" w:hint="eastAsia"/>
        </w:rPr>
        <w:t>会计学</w:t>
      </w:r>
      <w:r w:rsidR="0094686B" w:rsidRPr="00A10FB7">
        <w:rPr>
          <w:rFonts w:ascii="Times New Roman" w:hint="eastAsia"/>
        </w:rPr>
        <w:t>、财务管理和审计学专业</w:t>
      </w:r>
      <w:r w:rsidRPr="00A10FB7">
        <w:rPr>
          <w:rFonts w:ascii="Times New Roman" w:hint="eastAsia"/>
        </w:rPr>
        <w:t>入学统一考试的科目之一</w:t>
      </w:r>
      <w:r w:rsidR="009A445E" w:rsidRPr="00A10FB7">
        <w:rPr>
          <w:rFonts w:ascii="Times New Roman"/>
        </w:rPr>
        <w:t>。</w:t>
      </w:r>
    </w:p>
    <w:p w14:paraId="6CACD1A5" w14:textId="77777777" w:rsidR="00C8371D" w:rsidRPr="00A10FB7" w:rsidRDefault="00C8371D" w:rsidP="00C8371D">
      <w:pPr>
        <w:spacing w:line="360" w:lineRule="auto"/>
        <w:rPr>
          <w:rFonts w:ascii="Times New Roman"/>
        </w:rPr>
      </w:pPr>
    </w:p>
    <w:p w14:paraId="3CF38799" w14:textId="77777777" w:rsidR="00FA348D" w:rsidRPr="00A10FB7" w:rsidRDefault="00FA348D" w:rsidP="00815EC0">
      <w:pPr>
        <w:spacing w:line="360" w:lineRule="auto"/>
        <w:rPr>
          <w:rFonts w:ascii="Times New Roman"/>
          <w:b/>
          <w:sz w:val="24"/>
          <w:szCs w:val="24"/>
        </w:rPr>
      </w:pPr>
      <w:r w:rsidRPr="00A10FB7">
        <w:rPr>
          <w:rFonts w:ascii="Times New Roman" w:hint="eastAsia"/>
          <w:b/>
          <w:sz w:val="24"/>
          <w:szCs w:val="24"/>
        </w:rPr>
        <w:t>二、考试要求</w:t>
      </w:r>
    </w:p>
    <w:p w14:paraId="51C9AE0A" w14:textId="287EED93" w:rsidR="00A9556A" w:rsidRPr="00A10FB7" w:rsidRDefault="009A445E" w:rsidP="000A5B1F">
      <w:pPr>
        <w:spacing w:line="360" w:lineRule="auto"/>
        <w:ind w:firstLineChars="200" w:firstLine="420"/>
        <w:rPr>
          <w:rFonts w:ascii="Times New Roman"/>
          <w:szCs w:val="21"/>
        </w:rPr>
      </w:pPr>
      <w:r w:rsidRPr="00A10FB7">
        <w:rPr>
          <w:rFonts w:ascii="Times New Roman"/>
          <w:szCs w:val="21"/>
        </w:rPr>
        <w:t>本项考试要求学生</w:t>
      </w:r>
      <w:r w:rsidR="00FE122B" w:rsidRPr="00A10FB7">
        <w:rPr>
          <w:rFonts w:ascii="Times New Roman" w:hint="eastAsia"/>
          <w:szCs w:val="21"/>
        </w:rPr>
        <w:t>理解</w:t>
      </w:r>
      <w:r w:rsidR="00717E70" w:rsidRPr="00A10FB7">
        <w:rPr>
          <w:rFonts w:ascii="Times New Roman" w:hint="eastAsia"/>
          <w:szCs w:val="21"/>
        </w:rPr>
        <w:t>会计</w:t>
      </w:r>
      <w:r w:rsidRPr="00A10FB7">
        <w:rPr>
          <w:rFonts w:ascii="Times New Roman"/>
          <w:szCs w:val="21"/>
        </w:rPr>
        <w:t>学的基本</w:t>
      </w:r>
      <w:r w:rsidR="00B97F7D" w:rsidRPr="00A10FB7">
        <w:rPr>
          <w:rFonts w:ascii="Times New Roman" w:hint="eastAsia"/>
          <w:szCs w:val="21"/>
        </w:rPr>
        <w:t>理论</w:t>
      </w:r>
      <w:r w:rsidRPr="00A10FB7">
        <w:rPr>
          <w:rFonts w:ascii="Times New Roman"/>
          <w:szCs w:val="21"/>
        </w:rPr>
        <w:t>、</w:t>
      </w:r>
      <w:r w:rsidR="00A9556A" w:rsidRPr="00A10FB7">
        <w:rPr>
          <w:rFonts w:ascii="Times New Roman" w:hint="eastAsia"/>
          <w:szCs w:val="21"/>
        </w:rPr>
        <w:t>基本知识和基本方法，并熟练掌握和灵活分析其在</w:t>
      </w:r>
      <w:r w:rsidR="00B97F7D" w:rsidRPr="00A10FB7">
        <w:rPr>
          <w:rFonts w:ascii="Times New Roman" w:hint="eastAsia"/>
          <w:szCs w:val="21"/>
        </w:rPr>
        <w:t>会计确认、计量</w:t>
      </w:r>
      <w:r w:rsidR="00D86D21" w:rsidRPr="00A10FB7">
        <w:rPr>
          <w:rFonts w:ascii="Times New Roman" w:hint="eastAsia"/>
          <w:szCs w:val="21"/>
        </w:rPr>
        <w:t>、</w:t>
      </w:r>
      <w:r w:rsidR="00D86D21" w:rsidRPr="00A10FB7">
        <w:rPr>
          <w:rFonts w:ascii="Times New Roman"/>
          <w:szCs w:val="21"/>
        </w:rPr>
        <w:t>记录</w:t>
      </w:r>
      <w:r w:rsidR="00B97F7D" w:rsidRPr="00A10FB7">
        <w:rPr>
          <w:rFonts w:ascii="Times New Roman" w:hint="eastAsia"/>
          <w:szCs w:val="21"/>
        </w:rPr>
        <w:t>和信息披露中具体运用</w:t>
      </w:r>
      <w:r w:rsidR="00A9577E" w:rsidRPr="00A10FB7">
        <w:rPr>
          <w:rFonts w:ascii="Times New Roman"/>
          <w:szCs w:val="21"/>
        </w:rPr>
        <w:t>；</w:t>
      </w:r>
      <w:r w:rsidR="00FE122B" w:rsidRPr="00A10FB7">
        <w:rPr>
          <w:rFonts w:ascii="Times New Roman" w:hint="eastAsia"/>
          <w:szCs w:val="21"/>
        </w:rPr>
        <w:t>理解和掌握</w:t>
      </w:r>
      <w:r w:rsidR="00D73B5A" w:rsidRPr="00A10FB7">
        <w:rPr>
          <w:rFonts w:ascii="Times New Roman" w:hint="eastAsia"/>
          <w:szCs w:val="21"/>
        </w:rPr>
        <w:t>财务本质、目标等财务基本理论，</w:t>
      </w:r>
      <w:r w:rsidR="00FE122B" w:rsidRPr="00A10FB7">
        <w:rPr>
          <w:rFonts w:ascii="Times New Roman" w:hint="eastAsia"/>
          <w:szCs w:val="21"/>
        </w:rPr>
        <w:t>熟练掌握和灵活运用</w:t>
      </w:r>
      <w:r w:rsidR="00D73B5A" w:rsidRPr="00A10FB7">
        <w:rPr>
          <w:rFonts w:ascii="Times New Roman" w:hint="eastAsia"/>
          <w:szCs w:val="21"/>
        </w:rPr>
        <w:t>在决策、计划、控制、评价等财务环节上的理财基本技能</w:t>
      </w:r>
      <w:r w:rsidR="00A9556A" w:rsidRPr="00A10FB7">
        <w:rPr>
          <w:rFonts w:ascii="Times New Roman" w:hint="eastAsia"/>
          <w:szCs w:val="21"/>
        </w:rPr>
        <w:t>。</w:t>
      </w:r>
    </w:p>
    <w:p w14:paraId="275DB5B3" w14:textId="77777777" w:rsidR="00C8371D" w:rsidRPr="00A10FB7" w:rsidRDefault="00C8371D" w:rsidP="00C8371D">
      <w:pPr>
        <w:spacing w:line="360" w:lineRule="auto"/>
        <w:rPr>
          <w:rFonts w:ascii="Times New Roman"/>
          <w:szCs w:val="21"/>
        </w:rPr>
      </w:pPr>
    </w:p>
    <w:p w14:paraId="511055BD" w14:textId="77777777" w:rsidR="00FA348D" w:rsidRPr="00A10FB7" w:rsidRDefault="00FA348D" w:rsidP="00815EC0">
      <w:pPr>
        <w:spacing w:line="360" w:lineRule="auto"/>
        <w:rPr>
          <w:rFonts w:ascii="Times New Roman"/>
          <w:b/>
          <w:sz w:val="24"/>
          <w:szCs w:val="24"/>
        </w:rPr>
      </w:pPr>
      <w:r w:rsidRPr="00A10FB7">
        <w:rPr>
          <w:rFonts w:ascii="Times New Roman" w:hint="eastAsia"/>
          <w:b/>
          <w:sz w:val="24"/>
          <w:szCs w:val="24"/>
        </w:rPr>
        <w:t>三、考试内容</w:t>
      </w:r>
    </w:p>
    <w:p w14:paraId="7AB618F6" w14:textId="77777777" w:rsidR="00F81877" w:rsidRPr="00A10FB7" w:rsidRDefault="00FA348D" w:rsidP="008A1C61">
      <w:pPr>
        <w:spacing w:beforeLines="50" w:before="156" w:afterLines="50" w:after="156" w:line="360" w:lineRule="auto"/>
        <w:rPr>
          <w:rFonts w:ascii="Times New Roman" w:hAnsi="Times New Roman"/>
          <w:b/>
          <w:sz w:val="24"/>
        </w:rPr>
      </w:pPr>
      <w:r w:rsidRPr="00A10FB7">
        <w:rPr>
          <w:rFonts w:ascii="Times New Roman" w:hint="eastAsia"/>
          <w:b/>
          <w:sz w:val="24"/>
        </w:rPr>
        <w:t>（</w:t>
      </w:r>
      <w:r w:rsidR="00F81877" w:rsidRPr="00A10FB7">
        <w:rPr>
          <w:rFonts w:ascii="Times New Roman"/>
          <w:b/>
          <w:sz w:val="24"/>
        </w:rPr>
        <w:t>一</w:t>
      </w:r>
      <w:r w:rsidRPr="00A10FB7">
        <w:rPr>
          <w:rFonts w:ascii="Times New Roman" w:hint="eastAsia"/>
          <w:b/>
          <w:sz w:val="24"/>
        </w:rPr>
        <w:t>）</w:t>
      </w:r>
      <w:r w:rsidR="00696E3A" w:rsidRPr="00A10FB7">
        <w:rPr>
          <w:rFonts w:ascii="Times New Roman" w:hint="eastAsia"/>
          <w:b/>
          <w:sz w:val="24"/>
        </w:rPr>
        <w:t>会计学</w:t>
      </w:r>
      <w:r w:rsidR="00F81877" w:rsidRPr="00A10FB7">
        <w:rPr>
          <w:rFonts w:ascii="Times New Roman"/>
          <w:b/>
          <w:sz w:val="24"/>
        </w:rPr>
        <w:t>部分</w:t>
      </w:r>
    </w:p>
    <w:p w14:paraId="36E88563" w14:textId="5621F9B2" w:rsidR="007E44AB" w:rsidRPr="00A10FB7" w:rsidRDefault="007E44AB" w:rsidP="00815EC0">
      <w:pPr>
        <w:spacing w:line="360" w:lineRule="auto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1.会计基础理论</w:t>
      </w:r>
      <w:r w:rsidR="00DE3C5F" w:rsidRPr="00A10FB7">
        <w:rPr>
          <w:rFonts w:ascii="宋体" w:hAnsi="宋体" w:hint="eastAsia"/>
          <w:szCs w:val="21"/>
        </w:rPr>
        <w:t>及运用</w:t>
      </w:r>
    </w:p>
    <w:p w14:paraId="1151EFB9" w14:textId="707509BD" w:rsidR="007E44AB" w:rsidRPr="00A10FB7" w:rsidRDefault="007E44AB" w:rsidP="0098274D">
      <w:pPr>
        <w:numPr>
          <w:ilvl w:val="0"/>
          <w:numId w:val="1"/>
        </w:numPr>
        <w:tabs>
          <w:tab w:val="clear" w:pos="420"/>
          <w:tab w:val="num" w:pos="-432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/>
          <w:szCs w:val="21"/>
        </w:rPr>
        <w:t>会计</w:t>
      </w:r>
      <w:r w:rsidR="001D17AC" w:rsidRPr="00A10FB7">
        <w:rPr>
          <w:rFonts w:ascii="宋体" w:hAnsi="宋体" w:hint="eastAsia"/>
          <w:szCs w:val="21"/>
        </w:rPr>
        <w:t>目标</w:t>
      </w:r>
      <w:bookmarkStart w:id="1" w:name="_Hlk44576201"/>
      <w:r w:rsidR="00F828F6" w:rsidRPr="00A10FB7">
        <w:rPr>
          <w:rFonts w:ascii="宋体" w:hAnsi="宋体" w:hint="eastAsia"/>
          <w:szCs w:val="21"/>
        </w:rPr>
        <w:t>及运用</w:t>
      </w:r>
      <w:bookmarkEnd w:id="1"/>
    </w:p>
    <w:p w14:paraId="67DD2078" w14:textId="55037CF6" w:rsidR="001D17AC" w:rsidRPr="00A10FB7" w:rsidRDefault="007E44AB" w:rsidP="0098274D">
      <w:pPr>
        <w:numPr>
          <w:ilvl w:val="0"/>
          <w:numId w:val="1"/>
        </w:numPr>
        <w:tabs>
          <w:tab w:val="clear" w:pos="420"/>
          <w:tab w:val="num" w:pos="-432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会计假设</w:t>
      </w:r>
      <w:r w:rsidR="00F828F6" w:rsidRPr="00A10FB7">
        <w:rPr>
          <w:rFonts w:ascii="宋体" w:hAnsi="宋体" w:hint="eastAsia"/>
          <w:szCs w:val="21"/>
        </w:rPr>
        <w:t>及运用</w:t>
      </w:r>
    </w:p>
    <w:p w14:paraId="0F664DFF" w14:textId="01DDD964" w:rsidR="007E44AB" w:rsidRPr="00A10FB7" w:rsidRDefault="007E44AB" w:rsidP="0098274D">
      <w:pPr>
        <w:numPr>
          <w:ilvl w:val="0"/>
          <w:numId w:val="1"/>
        </w:numPr>
        <w:tabs>
          <w:tab w:val="clear" w:pos="420"/>
          <w:tab w:val="num" w:pos="-432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会计信息质量要求</w:t>
      </w:r>
      <w:r w:rsidR="00F828F6" w:rsidRPr="00A10FB7">
        <w:rPr>
          <w:rFonts w:ascii="宋体" w:hAnsi="宋体" w:hint="eastAsia"/>
          <w:szCs w:val="21"/>
        </w:rPr>
        <w:t>及运用</w:t>
      </w:r>
    </w:p>
    <w:p w14:paraId="0A807E06" w14:textId="6373AB2C" w:rsidR="00F828F6" w:rsidRPr="00A10FB7" w:rsidRDefault="007E44AB" w:rsidP="0098274D">
      <w:pPr>
        <w:numPr>
          <w:ilvl w:val="0"/>
          <w:numId w:val="1"/>
        </w:numPr>
        <w:tabs>
          <w:tab w:val="clear" w:pos="420"/>
          <w:tab w:val="num" w:pos="-432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/>
          <w:szCs w:val="21"/>
        </w:rPr>
        <w:t>会计要素</w:t>
      </w:r>
      <w:r w:rsidR="00F828F6" w:rsidRPr="00A10FB7">
        <w:rPr>
          <w:rFonts w:ascii="宋体" w:hAnsi="宋体" w:hint="eastAsia"/>
          <w:szCs w:val="21"/>
        </w:rPr>
        <w:t>及其确认运用</w:t>
      </w:r>
    </w:p>
    <w:p w14:paraId="62CAF58B" w14:textId="36E973A5" w:rsidR="007E44AB" w:rsidRPr="00A10FB7" w:rsidRDefault="007E44AB" w:rsidP="0098274D">
      <w:pPr>
        <w:numPr>
          <w:ilvl w:val="0"/>
          <w:numId w:val="1"/>
        </w:numPr>
        <w:tabs>
          <w:tab w:val="clear" w:pos="420"/>
          <w:tab w:val="num" w:pos="-432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/>
          <w:szCs w:val="21"/>
        </w:rPr>
        <w:t>会计等式</w:t>
      </w:r>
      <w:r w:rsidR="00F828F6" w:rsidRPr="00A10FB7">
        <w:rPr>
          <w:rFonts w:ascii="宋体" w:hAnsi="宋体" w:hint="eastAsia"/>
          <w:szCs w:val="21"/>
        </w:rPr>
        <w:t>及运用</w:t>
      </w:r>
    </w:p>
    <w:p w14:paraId="1F3AC165" w14:textId="35066220" w:rsidR="007E44AB" w:rsidRPr="00A10FB7" w:rsidRDefault="007E44AB" w:rsidP="0098274D">
      <w:pPr>
        <w:numPr>
          <w:ilvl w:val="0"/>
          <w:numId w:val="1"/>
        </w:numPr>
        <w:tabs>
          <w:tab w:val="clear" w:pos="420"/>
          <w:tab w:val="num" w:pos="-432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/>
          <w:szCs w:val="21"/>
        </w:rPr>
        <w:t>会计计量</w:t>
      </w:r>
      <w:r w:rsidR="00F828F6" w:rsidRPr="00A10FB7">
        <w:rPr>
          <w:rFonts w:ascii="宋体" w:hAnsi="宋体" w:hint="eastAsia"/>
          <w:szCs w:val="21"/>
        </w:rPr>
        <w:t>及运用</w:t>
      </w:r>
    </w:p>
    <w:p w14:paraId="7DCE650B" w14:textId="50EF46A8" w:rsidR="007E44AB" w:rsidRPr="00A10FB7" w:rsidRDefault="007E44AB" w:rsidP="0098274D">
      <w:pPr>
        <w:numPr>
          <w:ilvl w:val="0"/>
          <w:numId w:val="1"/>
        </w:numPr>
        <w:tabs>
          <w:tab w:val="clear" w:pos="420"/>
          <w:tab w:val="num" w:pos="-432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会计记账方法和会计循环</w:t>
      </w:r>
      <w:r w:rsidR="00F828F6" w:rsidRPr="00A10FB7">
        <w:rPr>
          <w:rFonts w:ascii="宋体" w:hAnsi="宋体" w:hint="eastAsia"/>
          <w:szCs w:val="21"/>
        </w:rPr>
        <w:t>及运用</w:t>
      </w:r>
    </w:p>
    <w:p w14:paraId="3832EA30" w14:textId="4AAE5448" w:rsidR="00B27D9F" w:rsidRPr="00A10FB7" w:rsidRDefault="00D67D3E" w:rsidP="0098274D">
      <w:pPr>
        <w:numPr>
          <w:ilvl w:val="0"/>
          <w:numId w:val="1"/>
        </w:numPr>
        <w:tabs>
          <w:tab w:val="clear" w:pos="420"/>
          <w:tab w:val="num" w:pos="-432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会计</w:t>
      </w:r>
      <w:r w:rsidR="006A4F9A" w:rsidRPr="00A10FB7">
        <w:rPr>
          <w:rFonts w:ascii="宋体" w:hAnsi="宋体" w:hint="eastAsia"/>
          <w:szCs w:val="21"/>
        </w:rPr>
        <w:t>准则</w:t>
      </w:r>
      <w:r w:rsidRPr="00A10FB7">
        <w:rPr>
          <w:rFonts w:ascii="宋体" w:hAnsi="宋体" w:hint="eastAsia"/>
          <w:szCs w:val="21"/>
        </w:rPr>
        <w:t>改革及运用</w:t>
      </w:r>
    </w:p>
    <w:p w14:paraId="66F95526" w14:textId="36685023" w:rsidR="00D67D3E" w:rsidRPr="00A10FB7" w:rsidRDefault="00D67D3E" w:rsidP="00D67D3E">
      <w:pPr>
        <w:numPr>
          <w:ilvl w:val="0"/>
          <w:numId w:val="1"/>
        </w:numPr>
        <w:tabs>
          <w:tab w:val="clear" w:pos="420"/>
          <w:tab w:val="num" w:pos="-432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会计实务前沿及运用</w:t>
      </w:r>
    </w:p>
    <w:p w14:paraId="1C0BA0FC" w14:textId="204A2747" w:rsidR="00D67D3E" w:rsidRPr="00A10FB7" w:rsidRDefault="006A4F9A" w:rsidP="00D67D3E">
      <w:pPr>
        <w:numPr>
          <w:ilvl w:val="0"/>
          <w:numId w:val="1"/>
        </w:numPr>
        <w:tabs>
          <w:tab w:val="clear" w:pos="420"/>
          <w:tab w:val="num" w:pos="-432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会计理论前沿及运用</w:t>
      </w:r>
    </w:p>
    <w:p w14:paraId="72075925" w14:textId="27AF28C7" w:rsidR="007E44AB" w:rsidRPr="00A10FB7" w:rsidRDefault="00815EC0" w:rsidP="00815EC0">
      <w:pPr>
        <w:spacing w:line="360" w:lineRule="auto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2.</w:t>
      </w:r>
      <w:r w:rsidR="007E44AB" w:rsidRPr="00A10FB7">
        <w:rPr>
          <w:rFonts w:ascii="宋体" w:hAnsi="宋体" w:hint="eastAsia"/>
          <w:szCs w:val="21"/>
        </w:rPr>
        <w:t>货币资金、交易性金融资产</w:t>
      </w:r>
      <w:r w:rsidR="00B27D9F" w:rsidRPr="00A10FB7">
        <w:rPr>
          <w:rFonts w:ascii="宋体" w:hAnsi="宋体" w:hint="eastAsia"/>
          <w:szCs w:val="21"/>
        </w:rPr>
        <w:t>、</w:t>
      </w:r>
      <w:r w:rsidR="007E44AB" w:rsidRPr="00A10FB7">
        <w:rPr>
          <w:rFonts w:ascii="宋体" w:hAnsi="宋体" w:hint="eastAsia"/>
          <w:szCs w:val="21"/>
        </w:rPr>
        <w:t>应收款项</w:t>
      </w:r>
      <w:r w:rsidR="00B27D9F" w:rsidRPr="00A10FB7">
        <w:rPr>
          <w:rFonts w:ascii="宋体" w:hAnsi="宋体" w:hint="eastAsia"/>
          <w:szCs w:val="21"/>
        </w:rPr>
        <w:t>、合同资产</w:t>
      </w:r>
    </w:p>
    <w:p w14:paraId="1EF3CDEA" w14:textId="77777777" w:rsidR="007E44AB" w:rsidRPr="00A10FB7" w:rsidRDefault="007E44AB" w:rsidP="0098274D">
      <w:pPr>
        <w:numPr>
          <w:ilvl w:val="0"/>
          <w:numId w:val="2"/>
        </w:numPr>
        <w:tabs>
          <w:tab w:val="clear" w:pos="420"/>
          <w:tab w:val="num" w:pos="-4320"/>
        </w:tabs>
        <w:spacing w:line="360" w:lineRule="auto"/>
        <w:ind w:left="720"/>
        <w:rPr>
          <w:rFonts w:ascii="宋体" w:hAnsi="宋体" w:cs="Tahoma"/>
          <w:kern w:val="0"/>
          <w:szCs w:val="21"/>
        </w:rPr>
      </w:pPr>
      <w:r w:rsidRPr="00A10FB7">
        <w:rPr>
          <w:rFonts w:ascii="宋体" w:hAnsi="宋体" w:cs="Tahoma" w:hint="eastAsia"/>
          <w:kern w:val="0"/>
          <w:szCs w:val="21"/>
        </w:rPr>
        <w:t>库存现金、银行存款、其他货币资金的核算与管理</w:t>
      </w:r>
    </w:p>
    <w:p w14:paraId="0A2F4C06" w14:textId="77777777" w:rsidR="007E44AB" w:rsidRPr="00A10FB7" w:rsidRDefault="007E44AB" w:rsidP="0098274D">
      <w:pPr>
        <w:numPr>
          <w:ilvl w:val="0"/>
          <w:numId w:val="2"/>
        </w:numPr>
        <w:tabs>
          <w:tab w:val="clear" w:pos="420"/>
          <w:tab w:val="num" w:pos="-4320"/>
        </w:tabs>
        <w:spacing w:line="360" w:lineRule="auto"/>
        <w:ind w:left="720"/>
        <w:rPr>
          <w:rFonts w:ascii="宋体" w:hAnsi="宋体" w:cs="Tahoma"/>
          <w:kern w:val="0"/>
          <w:szCs w:val="21"/>
        </w:rPr>
      </w:pPr>
      <w:r w:rsidRPr="00A10FB7">
        <w:rPr>
          <w:rFonts w:ascii="宋体" w:hAnsi="宋体" w:cs="Tahoma" w:hint="eastAsia"/>
          <w:kern w:val="0"/>
          <w:szCs w:val="21"/>
        </w:rPr>
        <w:t>交易性金融资产的性质、计价和会计处理</w:t>
      </w:r>
    </w:p>
    <w:p w14:paraId="538436A1" w14:textId="77777777" w:rsidR="007E44AB" w:rsidRPr="00A10FB7" w:rsidRDefault="007E44AB" w:rsidP="0098274D">
      <w:pPr>
        <w:numPr>
          <w:ilvl w:val="0"/>
          <w:numId w:val="2"/>
        </w:numPr>
        <w:tabs>
          <w:tab w:val="clear" w:pos="420"/>
          <w:tab w:val="num" w:pos="-4320"/>
        </w:tabs>
        <w:spacing w:line="360" w:lineRule="auto"/>
        <w:ind w:left="720"/>
        <w:rPr>
          <w:rFonts w:ascii="宋体" w:hAnsi="宋体" w:cs="Tahoma"/>
          <w:kern w:val="0"/>
          <w:szCs w:val="21"/>
        </w:rPr>
      </w:pPr>
      <w:r w:rsidRPr="00A10FB7">
        <w:rPr>
          <w:rFonts w:ascii="宋体" w:hAnsi="宋体" w:cs="Tahoma" w:hint="eastAsia"/>
          <w:kern w:val="0"/>
          <w:szCs w:val="21"/>
        </w:rPr>
        <w:t>应收票据的性质、计价和会计处理</w:t>
      </w:r>
    </w:p>
    <w:p w14:paraId="12309E06" w14:textId="77777777" w:rsidR="007E44AB" w:rsidRPr="00A10FB7" w:rsidRDefault="007E44AB" w:rsidP="0098274D">
      <w:pPr>
        <w:numPr>
          <w:ilvl w:val="0"/>
          <w:numId w:val="2"/>
        </w:numPr>
        <w:tabs>
          <w:tab w:val="clear" w:pos="420"/>
          <w:tab w:val="num" w:pos="-4320"/>
        </w:tabs>
        <w:spacing w:line="360" w:lineRule="auto"/>
        <w:ind w:left="720"/>
        <w:rPr>
          <w:rFonts w:ascii="宋体" w:hAnsi="宋体" w:cs="Tahoma"/>
          <w:kern w:val="0"/>
          <w:szCs w:val="21"/>
        </w:rPr>
      </w:pPr>
      <w:r w:rsidRPr="00A10FB7">
        <w:rPr>
          <w:rFonts w:ascii="宋体" w:hAnsi="宋体" w:cs="Tahoma" w:hint="eastAsia"/>
          <w:kern w:val="0"/>
          <w:szCs w:val="21"/>
        </w:rPr>
        <w:lastRenderedPageBreak/>
        <w:t>应收票据的转让和贴现</w:t>
      </w:r>
    </w:p>
    <w:p w14:paraId="6E2B165B" w14:textId="77777777" w:rsidR="007E44AB" w:rsidRPr="00A10FB7" w:rsidRDefault="007E44AB" w:rsidP="0098274D">
      <w:pPr>
        <w:numPr>
          <w:ilvl w:val="0"/>
          <w:numId w:val="2"/>
        </w:numPr>
        <w:tabs>
          <w:tab w:val="clear" w:pos="420"/>
          <w:tab w:val="num" w:pos="-4320"/>
        </w:tabs>
        <w:spacing w:line="360" w:lineRule="auto"/>
        <w:ind w:left="720"/>
        <w:rPr>
          <w:rFonts w:ascii="宋体" w:hAnsi="宋体" w:cs="Tahoma"/>
          <w:kern w:val="0"/>
          <w:szCs w:val="21"/>
        </w:rPr>
      </w:pPr>
      <w:r w:rsidRPr="00A10FB7">
        <w:rPr>
          <w:rFonts w:ascii="宋体" w:hAnsi="宋体" w:cs="Tahoma" w:hint="eastAsia"/>
          <w:kern w:val="0"/>
          <w:szCs w:val="21"/>
        </w:rPr>
        <w:t>应收账款的性质、计价和会计处理</w:t>
      </w:r>
    </w:p>
    <w:p w14:paraId="7931A4D4" w14:textId="02384985" w:rsidR="00E3498B" w:rsidRPr="00A10FB7" w:rsidRDefault="00E3498B" w:rsidP="00E3498B">
      <w:pPr>
        <w:pStyle w:val="a3"/>
        <w:numPr>
          <w:ilvl w:val="0"/>
          <w:numId w:val="2"/>
        </w:numPr>
        <w:spacing w:line="360" w:lineRule="auto"/>
        <w:ind w:left="720" w:firstLineChars="0"/>
        <w:rPr>
          <w:rFonts w:ascii="宋体" w:hAnsi="宋体" w:cs="Tahoma"/>
          <w:kern w:val="0"/>
          <w:szCs w:val="21"/>
        </w:rPr>
      </w:pPr>
      <w:r w:rsidRPr="00A10FB7">
        <w:rPr>
          <w:rFonts w:ascii="宋体" w:hAnsi="宋体" w:cs="Tahoma" w:hint="eastAsia"/>
          <w:kern w:val="0"/>
          <w:szCs w:val="21"/>
        </w:rPr>
        <w:t>合同资产的性质、计价和会计处理</w:t>
      </w:r>
    </w:p>
    <w:p w14:paraId="06059A85" w14:textId="548C7B7C" w:rsidR="007E44AB" w:rsidRPr="00A10FB7" w:rsidRDefault="007E44AB" w:rsidP="0098274D">
      <w:pPr>
        <w:numPr>
          <w:ilvl w:val="0"/>
          <w:numId w:val="2"/>
        </w:numPr>
        <w:tabs>
          <w:tab w:val="clear" w:pos="420"/>
          <w:tab w:val="num" w:pos="-4320"/>
        </w:tabs>
        <w:spacing w:line="360" w:lineRule="auto"/>
        <w:ind w:left="720"/>
        <w:rPr>
          <w:rFonts w:ascii="宋体" w:hAnsi="宋体" w:cs="Tahoma"/>
          <w:kern w:val="0"/>
          <w:szCs w:val="21"/>
        </w:rPr>
      </w:pPr>
      <w:r w:rsidRPr="00A10FB7">
        <w:rPr>
          <w:rFonts w:ascii="宋体" w:hAnsi="宋体" w:cs="Tahoma" w:hint="eastAsia"/>
          <w:kern w:val="0"/>
          <w:szCs w:val="21"/>
        </w:rPr>
        <w:t>预付账款和其他应收款</w:t>
      </w:r>
      <w:r w:rsidR="00F828F6" w:rsidRPr="00A10FB7">
        <w:rPr>
          <w:rFonts w:ascii="宋体" w:hAnsi="宋体" w:cs="Tahoma" w:hint="eastAsia"/>
          <w:kern w:val="0"/>
          <w:szCs w:val="21"/>
        </w:rPr>
        <w:t>的性质和会计处理</w:t>
      </w:r>
    </w:p>
    <w:p w14:paraId="2005A4BA" w14:textId="7041D184" w:rsidR="007E44AB" w:rsidRPr="00A10FB7" w:rsidRDefault="00B27D9F" w:rsidP="0098274D">
      <w:pPr>
        <w:numPr>
          <w:ilvl w:val="0"/>
          <w:numId w:val="2"/>
        </w:numPr>
        <w:tabs>
          <w:tab w:val="clear" w:pos="420"/>
          <w:tab w:val="num" w:pos="-4320"/>
        </w:tabs>
        <w:spacing w:line="360" w:lineRule="auto"/>
        <w:ind w:left="720"/>
        <w:rPr>
          <w:rFonts w:ascii="宋体" w:hAnsi="宋体" w:cs="Tahoma"/>
          <w:kern w:val="0"/>
          <w:szCs w:val="21"/>
        </w:rPr>
      </w:pPr>
      <w:r w:rsidRPr="00A10FB7">
        <w:rPr>
          <w:rFonts w:ascii="宋体" w:hAnsi="宋体" w:cs="Tahoma" w:hint="eastAsia"/>
          <w:kern w:val="0"/>
          <w:szCs w:val="21"/>
        </w:rPr>
        <w:t>信用资产减值的</w:t>
      </w:r>
      <w:r w:rsidR="007E44AB" w:rsidRPr="00A10FB7">
        <w:rPr>
          <w:rFonts w:ascii="宋体" w:hAnsi="宋体" w:cs="Tahoma" w:hint="eastAsia"/>
          <w:kern w:val="0"/>
          <w:szCs w:val="21"/>
        </w:rPr>
        <w:t>计提</w:t>
      </w:r>
      <w:r w:rsidRPr="00A10FB7">
        <w:rPr>
          <w:rFonts w:ascii="宋体" w:hAnsi="宋体" w:cs="Tahoma" w:hint="eastAsia"/>
          <w:kern w:val="0"/>
          <w:szCs w:val="21"/>
        </w:rPr>
        <w:t>与</w:t>
      </w:r>
      <w:r w:rsidR="007E44AB" w:rsidRPr="00A10FB7">
        <w:rPr>
          <w:rFonts w:ascii="宋体" w:hAnsi="宋体" w:cs="Tahoma" w:hint="eastAsia"/>
          <w:kern w:val="0"/>
          <w:szCs w:val="21"/>
        </w:rPr>
        <w:t>会计处理</w:t>
      </w:r>
    </w:p>
    <w:p w14:paraId="280FA93F" w14:textId="24F2FB63" w:rsidR="00B27D9F" w:rsidRPr="00A10FB7" w:rsidRDefault="00E3498B" w:rsidP="0098274D">
      <w:pPr>
        <w:numPr>
          <w:ilvl w:val="0"/>
          <w:numId w:val="2"/>
        </w:numPr>
        <w:tabs>
          <w:tab w:val="clear" w:pos="420"/>
          <w:tab w:val="num" w:pos="-4320"/>
        </w:tabs>
        <w:spacing w:line="360" w:lineRule="auto"/>
        <w:ind w:left="720"/>
        <w:rPr>
          <w:rFonts w:ascii="宋体" w:hAnsi="宋体" w:cs="Tahoma"/>
          <w:kern w:val="0"/>
          <w:szCs w:val="21"/>
        </w:rPr>
      </w:pPr>
      <w:r w:rsidRPr="00A10FB7">
        <w:rPr>
          <w:rFonts w:ascii="宋体" w:hAnsi="宋体" w:cs="Tahoma" w:hint="eastAsia"/>
          <w:kern w:val="0"/>
          <w:szCs w:val="21"/>
        </w:rPr>
        <w:t>相关信息披露</w:t>
      </w:r>
    </w:p>
    <w:p w14:paraId="138D4731" w14:textId="77777777" w:rsidR="007E44AB" w:rsidRPr="00A10FB7" w:rsidRDefault="00815EC0" w:rsidP="00815EC0">
      <w:pPr>
        <w:spacing w:line="360" w:lineRule="auto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3.</w:t>
      </w:r>
      <w:r w:rsidR="007E44AB" w:rsidRPr="00A10FB7">
        <w:rPr>
          <w:rFonts w:ascii="宋体" w:hAnsi="宋体" w:hint="eastAsia"/>
          <w:szCs w:val="21"/>
        </w:rPr>
        <w:t>存货</w:t>
      </w:r>
    </w:p>
    <w:p w14:paraId="2DF0F18D" w14:textId="77777777" w:rsidR="007E44AB" w:rsidRPr="00A10FB7" w:rsidRDefault="007E44AB" w:rsidP="0098274D">
      <w:pPr>
        <w:numPr>
          <w:ilvl w:val="0"/>
          <w:numId w:val="10"/>
        </w:numPr>
        <w:tabs>
          <w:tab w:val="clear" w:pos="420"/>
          <w:tab w:val="num" w:pos="-342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存货的性质、存货的盘存制度</w:t>
      </w:r>
    </w:p>
    <w:p w14:paraId="0F6F8465" w14:textId="77777777" w:rsidR="007E44AB" w:rsidRPr="00A10FB7" w:rsidRDefault="007E44AB" w:rsidP="0098274D">
      <w:pPr>
        <w:numPr>
          <w:ilvl w:val="0"/>
          <w:numId w:val="10"/>
        </w:numPr>
        <w:tabs>
          <w:tab w:val="clear" w:pos="420"/>
          <w:tab w:val="num" w:pos="-342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存货初始计量、发出计价和期末计价</w:t>
      </w:r>
    </w:p>
    <w:p w14:paraId="4436C5D2" w14:textId="77777777" w:rsidR="007E44AB" w:rsidRPr="00A10FB7" w:rsidRDefault="007E44AB" w:rsidP="0098274D">
      <w:pPr>
        <w:numPr>
          <w:ilvl w:val="0"/>
          <w:numId w:val="10"/>
        </w:numPr>
        <w:tabs>
          <w:tab w:val="clear" w:pos="420"/>
          <w:tab w:val="num" w:pos="-342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原材料、库存商品和低值易耗品的会计处理</w:t>
      </w:r>
    </w:p>
    <w:p w14:paraId="044FECCC" w14:textId="6EF91E19" w:rsidR="007E44AB" w:rsidRPr="00A10FB7" w:rsidRDefault="007E44AB" w:rsidP="0098274D">
      <w:pPr>
        <w:numPr>
          <w:ilvl w:val="0"/>
          <w:numId w:val="10"/>
        </w:numPr>
        <w:tabs>
          <w:tab w:val="clear" w:pos="420"/>
          <w:tab w:val="num" w:pos="-342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存货清查</w:t>
      </w:r>
      <w:r w:rsidR="00F828F6" w:rsidRPr="00A10FB7">
        <w:rPr>
          <w:rFonts w:ascii="宋体" w:hAnsi="宋体" w:hint="eastAsia"/>
          <w:szCs w:val="21"/>
        </w:rPr>
        <w:t>及其会计处理</w:t>
      </w:r>
    </w:p>
    <w:p w14:paraId="36149284" w14:textId="522ABBAA" w:rsidR="00E3498B" w:rsidRPr="00A10FB7" w:rsidRDefault="00E3498B" w:rsidP="0098274D">
      <w:pPr>
        <w:numPr>
          <w:ilvl w:val="0"/>
          <w:numId w:val="10"/>
        </w:numPr>
        <w:tabs>
          <w:tab w:val="clear" w:pos="420"/>
          <w:tab w:val="num" w:pos="-342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相关信息披露</w:t>
      </w:r>
    </w:p>
    <w:p w14:paraId="093C09FB" w14:textId="4945FFAD" w:rsidR="007E44AB" w:rsidRPr="00A10FB7" w:rsidRDefault="00815EC0" w:rsidP="00815EC0">
      <w:pPr>
        <w:spacing w:line="360" w:lineRule="auto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4.</w:t>
      </w:r>
      <w:r w:rsidR="00F828F6" w:rsidRPr="00A10FB7">
        <w:rPr>
          <w:rFonts w:ascii="宋体" w:hAnsi="宋体" w:hint="eastAsia"/>
          <w:szCs w:val="21"/>
        </w:rPr>
        <w:t>长期</w:t>
      </w:r>
      <w:r w:rsidR="007E44AB" w:rsidRPr="00A10FB7">
        <w:rPr>
          <w:rFonts w:ascii="宋体" w:hAnsi="宋体" w:hint="eastAsia"/>
          <w:szCs w:val="21"/>
        </w:rPr>
        <w:t>投资</w:t>
      </w:r>
    </w:p>
    <w:p w14:paraId="5F579AAE" w14:textId="77777777" w:rsidR="007E44AB" w:rsidRPr="00A10FB7" w:rsidRDefault="0013286C" w:rsidP="0098274D">
      <w:pPr>
        <w:numPr>
          <w:ilvl w:val="0"/>
          <w:numId w:val="3"/>
        </w:numPr>
        <w:tabs>
          <w:tab w:val="clear" w:pos="420"/>
          <w:tab w:val="num" w:pos="-216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债</w:t>
      </w:r>
      <w:r w:rsidR="003B74BC" w:rsidRPr="00A10FB7">
        <w:rPr>
          <w:rFonts w:ascii="宋体" w:hAnsi="宋体" w:hint="eastAsia"/>
          <w:szCs w:val="21"/>
        </w:rPr>
        <w:t>权</w:t>
      </w:r>
      <w:r w:rsidR="007E44AB" w:rsidRPr="00A10FB7">
        <w:rPr>
          <w:rFonts w:ascii="宋体" w:hAnsi="宋体" w:hint="eastAsia"/>
          <w:szCs w:val="21"/>
        </w:rPr>
        <w:t>投资的性质、计量和会计处理</w:t>
      </w:r>
    </w:p>
    <w:p w14:paraId="3ED5DD67" w14:textId="77777777" w:rsidR="007E44AB" w:rsidRPr="00A10FB7" w:rsidRDefault="0013286C" w:rsidP="0098274D">
      <w:pPr>
        <w:numPr>
          <w:ilvl w:val="0"/>
          <w:numId w:val="3"/>
        </w:numPr>
        <w:tabs>
          <w:tab w:val="clear" w:pos="420"/>
          <w:tab w:val="num" w:pos="-216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其他权益工具投资</w:t>
      </w:r>
      <w:r w:rsidR="007E44AB" w:rsidRPr="00A10FB7">
        <w:rPr>
          <w:rFonts w:ascii="宋体" w:hAnsi="宋体" w:hint="eastAsia"/>
          <w:szCs w:val="21"/>
        </w:rPr>
        <w:t>的性质、计量和会计处理</w:t>
      </w:r>
    </w:p>
    <w:p w14:paraId="791E0B15" w14:textId="77777777" w:rsidR="00E3498B" w:rsidRPr="00A10FB7" w:rsidRDefault="007E44AB" w:rsidP="00E3498B">
      <w:pPr>
        <w:numPr>
          <w:ilvl w:val="0"/>
          <w:numId w:val="3"/>
        </w:numPr>
        <w:tabs>
          <w:tab w:val="clear" w:pos="420"/>
          <w:tab w:val="num" w:pos="-216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长期股权投资的性质、计量和会计处理</w:t>
      </w:r>
    </w:p>
    <w:p w14:paraId="7AA499FB" w14:textId="719EEE04" w:rsidR="00E3498B" w:rsidRPr="00A10FB7" w:rsidRDefault="00E3498B" w:rsidP="00E3498B">
      <w:pPr>
        <w:numPr>
          <w:ilvl w:val="0"/>
          <w:numId w:val="3"/>
        </w:numPr>
        <w:tabs>
          <w:tab w:val="clear" w:pos="420"/>
          <w:tab w:val="num" w:pos="-2160"/>
        </w:tabs>
        <w:spacing w:line="360" w:lineRule="auto"/>
        <w:ind w:left="720"/>
        <w:rPr>
          <w:rFonts w:ascii="宋体" w:hAnsi="宋体"/>
          <w:szCs w:val="21"/>
        </w:rPr>
      </w:pPr>
      <w:bookmarkStart w:id="2" w:name="_Hlk44498222"/>
      <w:r w:rsidRPr="00A10FB7">
        <w:rPr>
          <w:rFonts w:ascii="宋体" w:hAnsi="宋体" w:cs="Tahoma" w:hint="eastAsia"/>
          <w:kern w:val="0"/>
          <w:szCs w:val="21"/>
        </w:rPr>
        <w:t>相关信息披露</w:t>
      </w:r>
    </w:p>
    <w:bookmarkEnd w:id="2"/>
    <w:p w14:paraId="43132D7D" w14:textId="77777777" w:rsidR="007E44AB" w:rsidRPr="00A10FB7" w:rsidRDefault="00815EC0" w:rsidP="00E3498B">
      <w:pPr>
        <w:spacing w:line="360" w:lineRule="auto"/>
        <w:jc w:val="left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5.</w:t>
      </w:r>
      <w:r w:rsidR="007E44AB" w:rsidRPr="00A10FB7">
        <w:rPr>
          <w:rFonts w:ascii="宋体" w:hAnsi="宋体" w:hint="eastAsia"/>
          <w:szCs w:val="21"/>
        </w:rPr>
        <w:t>固定资产、无形资产和投资性房地产</w:t>
      </w:r>
    </w:p>
    <w:p w14:paraId="51C4DA64" w14:textId="77777777" w:rsidR="007E44AB" w:rsidRPr="00A10FB7" w:rsidRDefault="007E44AB" w:rsidP="0098274D">
      <w:pPr>
        <w:numPr>
          <w:ilvl w:val="0"/>
          <w:numId w:val="4"/>
        </w:numPr>
        <w:tabs>
          <w:tab w:val="clear" w:pos="420"/>
          <w:tab w:val="num" w:pos="-198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固定资产性质和分类</w:t>
      </w:r>
    </w:p>
    <w:p w14:paraId="07FB2132" w14:textId="03B767A5" w:rsidR="007E44AB" w:rsidRPr="00A10FB7" w:rsidRDefault="007E44AB" w:rsidP="0098274D">
      <w:pPr>
        <w:numPr>
          <w:ilvl w:val="0"/>
          <w:numId w:val="4"/>
        </w:numPr>
        <w:tabs>
          <w:tab w:val="clear" w:pos="420"/>
          <w:tab w:val="num" w:pos="-198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固定资产的取得、折旧、后续支出</w:t>
      </w:r>
      <w:r w:rsidR="00E3498B" w:rsidRPr="00A10FB7">
        <w:rPr>
          <w:rFonts w:ascii="宋体" w:hAnsi="宋体" w:hint="eastAsia"/>
          <w:szCs w:val="21"/>
        </w:rPr>
        <w:t>、</w:t>
      </w:r>
      <w:r w:rsidRPr="00A10FB7">
        <w:rPr>
          <w:rFonts w:ascii="宋体" w:hAnsi="宋体" w:hint="eastAsia"/>
          <w:szCs w:val="21"/>
        </w:rPr>
        <w:t>处置的计量和会计处理</w:t>
      </w:r>
    </w:p>
    <w:p w14:paraId="48354019" w14:textId="77777777" w:rsidR="007E44AB" w:rsidRPr="00A10FB7" w:rsidRDefault="007E44AB" w:rsidP="0098274D">
      <w:pPr>
        <w:numPr>
          <w:ilvl w:val="0"/>
          <w:numId w:val="4"/>
        </w:numPr>
        <w:tabs>
          <w:tab w:val="clear" w:pos="420"/>
          <w:tab w:val="num" w:pos="-198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无形资产的性质、内容</w:t>
      </w:r>
    </w:p>
    <w:p w14:paraId="3DE8DD1E" w14:textId="03A1B56B" w:rsidR="007E44AB" w:rsidRPr="00A10FB7" w:rsidRDefault="007E44AB" w:rsidP="0098274D">
      <w:pPr>
        <w:numPr>
          <w:ilvl w:val="0"/>
          <w:numId w:val="4"/>
        </w:numPr>
        <w:tabs>
          <w:tab w:val="clear" w:pos="420"/>
          <w:tab w:val="num" w:pos="-198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无形资产取得、摊销</w:t>
      </w:r>
      <w:r w:rsidR="00E3498B" w:rsidRPr="00A10FB7">
        <w:rPr>
          <w:rFonts w:ascii="宋体" w:hAnsi="宋体" w:hint="eastAsia"/>
          <w:szCs w:val="21"/>
        </w:rPr>
        <w:t>、</w:t>
      </w:r>
      <w:r w:rsidRPr="00A10FB7">
        <w:rPr>
          <w:rFonts w:ascii="宋体" w:hAnsi="宋体" w:hint="eastAsia"/>
          <w:szCs w:val="21"/>
        </w:rPr>
        <w:t>转让的计量和会计处理</w:t>
      </w:r>
    </w:p>
    <w:p w14:paraId="5979269F" w14:textId="77777777" w:rsidR="00E3498B" w:rsidRPr="00A10FB7" w:rsidRDefault="007E44AB" w:rsidP="00E3498B">
      <w:pPr>
        <w:numPr>
          <w:ilvl w:val="0"/>
          <w:numId w:val="4"/>
        </w:numPr>
        <w:tabs>
          <w:tab w:val="clear" w:pos="420"/>
          <w:tab w:val="num" w:pos="-198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投资性房地产的性质、计量和会计处理</w:t>
      </w:r>
    </w:p>
    <w:p w14:paraId="7F6C781D" w14:textId="51558917" w:rsidR="00E3498B" w:rsidRPr="00A10FB7" w:rsidRDefault="00E3498B" w:rsidP="00E3498B">
      <w:pPr>
        <w:numPr>
          <w:ilvl w:val="0"/>
          <w:numId w:val="4"/>
        </w:numPr>
        <w:tabs>
          <w:tab w:val="clear" w:pos="420"/>
          <w:tab w:val="num" w:pos="-198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cs="Tahoma" w:hint="eastAsia"/>
          <w:kern w:val="0"/>
          <w:szCs w:val="21"/>
        </w:rPr>
        <w:t>相关信息披露</w:t>
      </w:r>
    </w:p>
    <w:p w14:paraId="6D48440C" w14:textId="32071913" w:rsidR="007E44AB" w:rsidRPr="00A10FB7" w:rsidRDefault="00815EC0" w:rsidP="00815EC0">
      <w:pPr>
        <w:spacing w:line="360" w:lineRule="auto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6.</w:t>
      </w:r>
      <w:r w:rsidR="007E44AB" w:rsidRPr="00A10FB7">
        <w:rPr>
          <w:rFonts w:ascii="宋体" w:hAnsi="宋体" w:hint="eastAsia"/>
          <w:szCs w:val="21"/>
        </w:rPr>
        <w:t>负债</w:t>
      </w:r>
    </w:p>
    <w:p w14:paraId="6B024BED" w14:textId="75F4239C" w:rsidR="00DE3C5F" w:rsidRPr="00A10FB7" w:rsidRDefault="00DE3C5F" w:rsidP="00E3498B">
      <w:pPr>
        <w:numPr>
          <w:ilvl w:val="0"/>
          <w:numId w:val="5"/>
        </w:numPr>
        <w:tabs>
          <w:tab w:val="clear" w:pos="420"/>
          <w:tab w:val="num" w:pos="-270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负债的基本理论</w:t>
      </w:r>
    </w:p>
    <w:p w14:paraId="2BA3201D" w14:textId="1FBFDDE5" w:rsidR="00E3498B" w:rsidRPr="00A10FB7" w:rsidRDefault="007E44AB" w:rsidP="0098274D">
      <w:pPr>
        <w:numPr>
          <w:ilvl w:val="0"/>
          <w:numId w:val="5"/>
        </w:numPr>
        <w:tabs>
          <w:tab w:val="clear" w:pos="420"/>
          <w:tab w:val="num" w:pos="-270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短期</w:t>
      </w:r>
      <w:r w:rsidR="00E3498B" w:rsidRPr="00A10FB7">
        <w:rPr>
          <w:rFonts w:ascii="宋体" w:hAnsi="宋体" w:hint="eastAsia"/>
          <w:szCs w:val="21"/>
        </w:rPr>
        <w:t>借款</w:t>
      </w:r>
      <w:r w:rsidR="00F828F6" w:rsidRPr="00A10FB7">
        <w:rPr>
          <w:rFonts w:ascii="宋体" w:hAnsi="宋体" w:hint="eastAsia"/>
          <w:szCs w:val="21"/>
        </w:rPr>
        <w:t>及其利息</w:t>
      </w:r>
      <w:r w:rsidR="00E3498B" w:rsidRPr="00A10FB7">
        <w:rPr>
          <w:rFonts w:ascii="宋体" w:hAnsi="宋体" w:hint="eastAsia"/>
          <w:szCs w:val="21"/>
        </w:rPr>
        <w:t>的确认、计量和会计处理</w:t>
      </w:r>
    </w:p>
    <w:p w14:paraId="08676391" w14:textId="49FFC42A" w:rsidR="007E44AB" w:rsidRPr="00A10FB7" w:rsidRDefault="00E3498B" w:rsidP="0098274D">
      <w:pPr>
        <w:numPr>
          <w:ilvl w:val="0"/>
          <w:numId w:val="5"/>
        </w:numPr>
        <w:tabs>
          <w:tab w:val="clear" w:pos="420"/>
          <w:tab w:val="num" w:pos="-270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借款费用、</w:t>
      </w:r>
      <w:r w:rsidR="007E44AB" w:rsidRPr="00A10FB7">
        <w:rPr>
          <w:rFonts w:ascii="宋体" w:hAnsi="宋体" w:hint="eastAsia"/>
          <w:szCs w:val="21"/>
        </w:rPr>
        <w:t>长期借款</w:t>
      </w:r>
      <w:r w:rsidR="00F828F6" w:rsidRPr="00A10FB7">
        <w:rPr>
          <w:rFonts w:ascii="宋体" w:hAnsi="宋体" w:hint="eastAsia"/>
          <w:szCs w:val="21"/>
        </w:rPr>
        <w:t>及其利息</w:t>
      </w:r>
      <w:r w:rsidR="007E44AB" w:rsidRPr="00A10FB7">
        <w:rPr>
          <w:rFonts w:ascii="宋体" w:hAnsi="宋体" w:hint="eastAsia"/>
          <w:szCs w:val="21"/>
        </w:rPr>
        <w:t>的</w:t>
      </w:r>
      <w:r w:rsidRPr="00A10FB7">
        <w:rPr>
          <w:rFonts w:ascii="宋体" w:hAnsi="宋体" w:hint="eastAsia"/>
          <w:szCs w:val="21"/>
        </w:rPr>
        <w:t>确认、计量和</w:t>
      </w:r>
      <w:r w:rsidR="007E44AB" w:rsidRPr="00A10FB7">
        <w:rPr>
          <w:rFonts w:ascii="宋体" w:hAnsi="宋体" w:hint="eastAsia"/>
          <w:szCs w:val="21"/>
        </w:rPr>
        <w:t>会计处理</w:t>
      </w:r>
    </w:p>
    <w:p w14:paraId="0163780A" w14:textId="7197D3DE" w:rsidR="007E44AB" w:rsidRPr="00A10FB7" w:rsidRDefault="007E44AB" w:rsidP="0098274D">
      <w:pPr>
        <w:numPr>
          <w:ilvl w:val="0"/>
          <w:numId w:val="5"/>
        </w:numPr>
        <w:tabs>
          <w:tab w:val="clear" w:pos="420"/>
          <w:tab w:val="num" w:pos="-270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应付职工薪酬的</w:t>
      </w:r>
      <w:r w:rsidR="00E3498B" w:rsidRPr="00A10FB7">
        <w:rPr>
          <w:rFonts w:ascii="宋体" w:hAnsi="宋体" w:hint="eastAsia"/>
          <w:szCs w:val="21"/>
        </w:rPr>
        <w:t>性质、确认、计量</w:t>
      </w:r>
      <w:r w:rsidRPr="00A10FB7">
        <w:rPr>
          <w:rFonts w:ascii="宋体" w:hAnsi="宋体" w:hint="eastAsia"/>
          <w:szCs w:val="21"/>
        </w:rPr>
        <w:t>及会计处理</w:t>
      </w:r>
    </w:p>
    <w:p w14:paraId="6000BA40" w14:textId="755B7576" w:rsidR="007E44AB" w:rsidRPr="00A10FB7" w:rsidRDefault="007E44AB" w:rsidP="0098274D">
      <w:pPr>
        <w:numPr>
          <w:ilvl w:val="0"/>
          <w:numId w:val="5"/>
        </w:numPr>
        <w:tabs>
          <w:tab w:val="clear" w:pos="420"/>
          <w:tab w:val="num" w:pos="-270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应交税费的</w:t>
      </w:r>
      <w:r w:rsidR="00E3498B" w:rsidRPr="00A10FB7">
        <w:rPr>
          <w:rFonts w:ascii="宋体" w:hAnsi="宋体" w:hint="eastAsia"/>
          <w:szCs w:val="21"/>
        </w:rPr>
        <w:t>性质、种类、计量和</w:t>
      </w:r>
      <w:r w:rsidRPr="00A10FB7">
        <w:rPr>
          <w:rFonts w:ascii="宋体" w:hAnsi="宋体" w:hint="eastAsia"/>
          <w:szCs w:val="21"/>
        </w:rPr>
        <w:t>会计处理</w:t>
      </w:r>
    </w:p>
    <w:p w14:paraId="78D1EF1C" w14:textId="5152C172" w:rsidR="001D17AC" w:rsidRPr="00A10FB7" w:rsidRDefault="001D17AC" w:rsidP="001D17AC">
      <w:pPr>
        <w:numPr>
          <w:ilvl w:val="0"/>
          <w:numId w:val="5"/>
        </w:numPr>
        <w:tabs>
          <w:tab w:val="clear" w:pos="420"/>
          <w:tab w:val="num" w:pos="-270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lastRenderedPageBreak/>
        <w:t>预收账款、合同负债、</w:t>
      </w:r>
      <w:r w:rsidR="00AC3C60" w:rsidRPr="00A10FB7">
        <w:rPr>
          <w:rFonts w:ascii="宋体" w:hAnsi="宋体" w:hint="eastAsia"/>
          <w:szCs w:val="21"/>
        </w:rPr>
        <w:t>预计负债、</w:t>
      </w:r>
      <w:r w:rsidRPr="00A10FB7">
        <w:rPr>
          <w:rFonts w:ascii="宋体" w:hAnsi="宋体" w:hint="eastAsia"/>
          <w:szCs w:val="21"/>
        </w:rPr>
        <w:t>或有负债的性质</w:t>
      </w:r>
      <w:r w:rsidR="00F828F6" w:rsidRPr="00A10FB7">
        <w:rPr>
          <w:rFonts w:ascii="宋体" w:hAnsi="宋体" w:hint="eastAsia"/>
          <w:szCs w:val="21"/>
        </w:rPr>
        <w:t>、</w:t>
      </w:r>
      <w:r w:rsidRPr="00A10FB7">
        <w:rPr>
          <w:rFonts w:ascii="宋体" w:hAnsi="宋体" w:hint="eastAsia"/>
          <w:szCs w:val="21"/>
        </w:rPr>
        <w:t>计量和会计处理</w:t>
      </w:r>
    </w:p>
    <w:p w14:paraId="16F5FFF2" w14:textId="163CE616" w:rsidR="007E44AB" w:rsidRPr="00A10FB7" w:rsidRDefault="007E44AB" w:rsidP="0098274D">
      <w:pPr>
        <w:numPr>
          <w:ilvl w:val="0"/>
          <w:numId w:val="5"/>
        </w:numPr>
        <w:tabs>
          <w:tab w:val="clear" w:pos="420"/>
          <w:tab w:val="num" w:pos="-270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应付债券的</w:t>
      </w:r>
      <w:r w:rsidR="00E3498B" w:rsidRPr="00A10FB7">
        <w:rPr>
          <w:rFonts w:ascii="宋体" w:hAnsi="宋体" w:hint="eastAsia"/>
          <w:szCs w:val="21"/>
        </w:rPr>
        <w:t>性质、计量和</w:t>
      </w:r>
      <w:r w:rsidRPr="00A10FB7">
        <w:rPr>
          <w:rFonts w:ascii="宋体" w:hAnsi="宋体" w:hint="eastAsia"/>
          <w:szCs w:val="21"/>
        </w:rPr>
        <w:t>会计处理</w:t>
      </w:r>
    </w:p>
    <w:p w14:paraId="795DCF2F" w14:textId="1EE22720" w:rsidR="00E3498B" w:rsidRPr="00A10FB7" w:rsidRDefault="00E3498B" w:rsidP="0098274D">
      <w:pPr>
        <w:numPr>
          <w:ilvl w:val="0"/>
          <w:numId w:val="5"/>
        </w:numPr>
        <w:tabs>
          <w:tab w:val="clear" w:pos="420"/>
          <w:tab w:val="num" w:pos="-270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相关信息披露</w:t>
      </w:r>
    </w:p>
    <w:p w14:paraId="7668ABEC" w14:textId="77777777" w:rsidR="007E44AB" w:rsidRPr="00A10FB7" w:rsidRDefault="00815EC0" w:rsidP="00815EC0">
      <w:pPr>
        <w:spacing w:line="360" w:lineRule="auto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7.</w:t>
      </w:r>
      <w:r w:rsidR="007E44AB" w:rsidRPr="00A10FB7">
        <w:rPr>
          <w:rFonts w:ascii="宋体" w:hAnsi="宋体" w:hint="eastAsia"/>
          <w:szCs w:val="21"/>
        </w:rPr>
        <w:t>收入、费用和利润</w:t>
      </w:r>
    </w:p>
    <w:p w14:paraId="289861BD" w14:textId="77777777" w:rsidR="007E44AB" w:rsidRPr="00A10FB7" w:rsidRDefault="007E44AB" w:rsidP="0098274D">
      <w:pPr>
        <w:numPr>
          <w:ilvl w:val="0"/>
          <w:numId w:val="6"/>
        </w:numPr>
        <w:tabs>
          <w:tab w:val="clear" w:pos="420"/>
          <w:tab w:val="num" w:pos="-198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收入确认、计量和会计处理</w:t>
      </w:r>
      <w:r w:rsidR="0013286C" w:rsidRPr="00A10FB7">
        <w:rPr>
          <w:rFonts w:ascii="宋体" w:hAnsi="宋体" w:hint="eastAsia"/>
          <w:szCs w:val="21"/>
        </w:rPr>
        <w:t>（以2017年财政部颁布的新收入准则为准）</w:t>
      </w:r>
    </w:p>
    <w:p w14:paraId="78EA63CD" w14:textId="77777777" w:rsidR="007E44AB" w:rsidRPr="00A10FB7" w:rsidRDefault="007E44AB" w:rsidP="0098274D">
      <w:pPr>
        <w:numPr>
          <w:ilvl w:val="0"/>
          <w:numId w:val="6"/>
        </w:numPr>
        <w:tabs>
          <w:tab w:val="clear" w:pos="420"/>
          <w:tab w:val="num" w:pos="-198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费用确认、计量和会计处理</w:t>
      </w:r>
    </w:p>
    <w:p w14:paraId="5303AF00" w14:textId="77777777" w:rsidR="007E44AB" w:rsidRPr="00A10FB7" w:rsidRDefault="007E44AB" w:rsidP="0098274D">
      <w:pPr>
        <w:numPr>
          <w:ilvl w:val="0"/>
          <w:numId w:val="6"/>
        </w:numPr>
        <w:tabs>
          <w:tab w:val="clear" w:pos="420"/>
          <w:tab w:val="num" w:pos="-198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利润确认、计量和会计处理</w:t>
      </w:r>
    </w:p>
    <w:p w14:paraId="4F5D72D5" w14:textId="4E9AC81B" w:rsidR="007E44AB" w:rsidRPr="00A10FB7" w:rsidRDefault="007E44AB" w:rsidP="0098274D">
      <w:pPr>
        <w:numPr>
          <w:ilvl w:val="0"/>
          <w:numId w:val="6"/>
        </w:numPr>
        <w:tabs>
          <w:tab w:val="clear" w:pos="420"/>
          <w:tab w:val="num" w:pos="-198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利润分配</w:t>
      </w:r>
      <w:r w:rsidR="004C6350" w:rsidRPr="00A10FB7">
        <w:rPr>
          <w:rFonts w:ascii="宋体" w:hAnsi="宋体" w:hint="eastAsia"/>
          <w:szCs w:val="21"/>
        </w:rPr>
        <w:t>及其</w:t>
      </w:r>
      <w:r w:rsidRPr="00A10FB7">
        <w:rPr>
          <w:rFonts w:ascii="宋体" w:hAnsi="宋体" w:hint="eastAsia"/>
          <w:szCs w:val="21"/>
        </w:rPr>
        <w:t>会计处理</w:t>
      </w:r>
    </w:p>
    <w:p w14:paraId="22FB8722" w14:textId="74A36E33" w:rsidR="004C6350" w:rsidRPr="00A10FB7" w:rsidRDefault="004C6350" w:rsidP="0098274D">
      <w:pPr>
        <w:numPr>
          <w:ilvl w:val="0"/>
          <w:numId w:val="6"/>
        </w:numPr>
        <w:tabs>
          <w:tab w:val="clear" w:pos="420"/>
          <w:tab w:val="num" w:pos="-198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相关信息披露</w:t>
      </w:r>
    </w:p>
    <w:p w14:paraId="4F0B3B6E" w14:textId="77777777" w:rsidR="007E44AB" w:rsidRPr="00A10FB7" w:rsidRDefault="00815EC0" w:rsidP="00815EC0">
      <w:pPr>
        <w:spacing w:line="360" w:lineRule="auto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8.</w:t>
      </w:r>
      <w:r w:rsidR="007E44AB" w:rsidRPr="00A10FB7">
        <w:rPr>
          <w:rFonts w:ascii="宋体" w:hAnsi="宋体" w:hint="eastAsia"/>
          <w:szCs w:val="21"/>
        </w:rPr>
        <w:t>所有者权益</w:t>
      </w:r>
    </w:p>
    <w:p w14:paraId="7CF3D3EF" w14:textId="77777777" w:rsidR="007E44AB" w:rsidRPr="00A10FB7" w:rsidRDefault="007E44AB" w:rsidP="0098274D">
      <w:pPr>
        <w:numPr>
          <w:ilvl w:val="0"/>
          <w:numId w:val="7"/>
        </w:numPr>
        <w:tabs>
          <w:tab w:val="clear" w:pos="420"/>
          <w:tab w:val="num" w:pos="-180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所有者权益的性质及内容</w:t>
      </w:r>
    </w:p>
    <w:p w14:paraId="31166406" w14:textId="043019CB" w:rsidR="007E44AB" w:rsidRPr="00A10FB7" w:rsidRDefault="007E44AB" w:rsidP="0098274D">
      <w:pPr>
        <w:numPr>
          <w:ilvl w:val="0"/>
          <w:numId w:val="7"/>
        </w:numPr>
        <w:tabs>
          <w:tab w:val="clear" w:pos="420"/>
          <w:tab w:val="num" w:pos="-180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实收资本</w:t>
      </w:r>
      <w:bookmarkStart w:id="3" w:name="_Hlk44498920"/>
      <w:r w:rsidR="004C6350" w:rsidRPr="00A10FB7">
        <w:rPr>
          <w:rFonts w:ascii="宋体" w:hAnsi="宋体" w:hint="eastAsia"/>
          <w:szCs w:val="21"/>
        </w:rPr>
        <w:t>的性质、计量和会计处理</w:t>
      </w:r>
      <w:bookmarkEnd w:id="3"/>
    </w:p>
    <w:p w14:paraId="5C5430A1" w14:textId="1288AC59" w:rsidR="004C6350" w:rsidRPr="00A10FB7" w:rsidRDefault="004C6350" w:rsidP="004C6350">
      <w:pPr>
        <w:numPr>
          <w:ilvl w:val="0"/>
          <w:numId w:val="7"/>
        </w:numPr>
        <w:tabs>
          <w:tab w:val="clear" w:pos="420"/>
          <w:tab w:val="num" w:pos="-180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其他权益工具的性质、计量和会计处理</w:t>
      </w:r>
    </w:p>
    <w:p w14:paraId="21232358" w14:textId="5CBBA863" w:rsidR="004C6350" w:rsidRPr="00A10FB7" w:rsidRDefault="004C6350" w:rsidP="004C6350">
      <w:pPr>
        <w:numPr>
          <w:ilvl w:val="0"/>
          <w:numId w:val="7"/>
        </w:numPr>
        <w:tabs>
          <w:tab w:val="clear" w:pos="420"/>
          <w:tab w:val="num" w:pos="-180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其他综合收益的性质、计量和会计处理</w:t>
      </w:r>
    </w:p>
    <w:p w14:paraId="4307F8BF" w14:textId="2637D8C6" w:rsidR="007E44AB" w:rsidRPr="00A10FB7" w:rsidRDefault="007E44AB" w:rsidP="0098274D">
      <w:pPr>
        <w:numPr>
          <w:ilvl w:val="0"/>
          <w:numId w:val="7"/>
        </w:numPr>
        <w:tabs>
          <w:tab w:val="clear" w:pos="420"/>
          <w:tab w:val="num" w:pos="-180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资本公积</w:t>
      </w:r>
      <w:r w:rsidR="004C6350" w:rsidRPr="00A10FB7">
        <w:rPr>
          <w:rFonts w:ascii="宋体" w:hAnsi="宋体" w:hint="eastAsia"/>
          <w:szCs w:val="21"/>
        </w:rPr>
        <w:t>的性质、计量和会计处理</w:t>
      </w:r>
    </w:p>
    <w:p w14:paraId="23DE8491" w14:textId="4783F29B" w:rsidR="007E44AB" w:rsidRPr="00A10FB7" w:rsidRDefault="007E44AB" w:rsidP="0098274D">
      <w:pPr>
        <w:numPr>
          <w:ilvl w:val="0"/>
          <w:numId w:val="7"/>
        </w:numPr>
        <w:tabs>
          <w:tab w:val="clear" w:pos="420"/>
          <w:tab w:val="num" w:pos="-180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盈余公积</w:t>
      </w:r>
      <w:r w:rsidR="004C6350" w:rsidRPr="00A10FB7">
        <w:rPr>
          <w:rFonts w:ascii="宋体" w:hAnsi="宋体" w:hint="eastAsia"/>
          <w:szCs w:val="21"/>
        </w:rPr>
        <w:t>的性质、计量和会计处理</w:t>
      </w:r>
    </w:p>
    <w:p w14:paraId="2A90659A" w14:textId="6ED09BD7" w:rsidR="007E44AB" w:rsidRPr="00A10FB7" w:rsidRDefault="007E44AB" w:rsidP="0098274D">
      <w:pPr>
        <w:numPr>
          <w:ilvl w:val="0"/>
          <w:numId w:val="7"/>
        </w:numPr>
        <w:tabs>
          <w:tab w:val="clear" w:pos="420"/>
          <w:tab w:val="num" w:pos="-180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未分配利润</w:t>
      </w:r>
      <w:r w:rsidR="004C6350" w:rsidRPr="00A10FB7">
        <w:rPr>
          <w:rFonts w:ascii="宋体" w:hAnsi="宋体" w:hint="eastAsia"/>
          <w:szCs w:val="21"/>
        </w:rPr>
        <w:t>的性质、计量和会计处理</w:t>
      </w:r>
    </w:p>
    <w:p w14:paraId="53F76A3C" w14:textId="0472735D" w:rsidR="004C6350" w:rsidRPr="00A10FB7" w:rsidRDefault="004C6350" w:rsidP="0098274D">
      <w:pPr>
        <w:numPr>
          <w:ilvl w:val="0"/>
          <w:numId w:val="7"/>
        </w:numPr>
        <w:tabs>
          <w:tab w:val="clear" w:pos="420"/>
          <w:tab w:val="num" w:pos="-180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相关信息披露</w:t>
      </w:r>
    </w:p>
    <w:p w14:paraId="28686F78" w14:textId="32788A1C" w:rsidR="007E44AB" w:rsidRPr="00A10FB7" w:rsidRDefault="00815EC0" w:rsidP="00815EC0">
      <w:pPr>
        <w:spacing w:line="360" w:lineRule="auto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9.</w:t>
      </w:r>
      <w:r w:rsidR="007E44AB" w:rsidRPr="00A10FB7">
        <w:rPr>
          <w:rFonts w:ascii="宋体" w:hAnsi="宋体" w:hint="eastAsia"/>
          <w:szCs w:val="21"/>
        </w:rPr>
        <w:t>非货币性资产交换、债务重组和外币业务</w:t>
      </w:r>
    </w:p>
    <w:p w14:paraId="28F8E004" w14:textId="77777777" w:rsidR="007E44AB" w:rsidRPr="00A10FB7" w:rsidRDefault="007E44AB" w:rsidP="0098274D">
      <w:pPr>
        <w:numPr>
          <w:ilvl w:val="0"/>
          <w:numId w:val="8"/>
        </w:numPr>
        <w:tabs>
          <w:tab w:val="clear" w:pos="420"/>
          <w:tab w:val="num" w:pos="-126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非货币性资产交换的性质、计量及会计处理</w:t>
      </w:r>
    </w:p>
    <w:p w14:paraId="6EB6B8FD" w14:textId="77777777" w:rsidR="007E44AB" w:rsidRPr="00A10FB7" w:rsidRDefault="007E44AB" w:rsidP="0098274D">
      <w:pPr>
        <w:numPr>
          <w:ilvl w:val="0"/>
          <w:numId w:val="8"/>
        </w:numPr>
        <w:tabs>
          <w:tab w:val="clear" w:pos="420"/>
          <w:tab w:val="num" w:pos="-126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债务重组的性质、方式及会计处理</w:t>
      </w:r>
    </w:p>
    <w:p w14:paraId="72E3C34F" w14:textId="55CBFD0A" w:rsidR="007E44AB" w:rsidRPr="00A10FB7" w:rsidRDefault="007E44AB" w:rsidP="0098274D">
      <w:pPr>
        <w:numPr>
          <w:ilvl w:val="0"/>
          <w:numId w:val="8"/>
        </w:numPr>
        <w:tabs>
          <w:tab w:val="clear" w:pos="420"/>
          <w:tab w:val="num" w:pos="-126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外币业务的会计处理及外币报表的折算</w:t>
      </w:r>
    </w:p>
    <w:p w14:paraId="0DB74732" w14:textId="0C32CCBE" w:rsidR="00F93539" w:rsidRPr="00A10FB7" w:rsidRDefault="00F93539" w:rsidP="0098274D">
      <w:pPr>
        <w:numPr>
          <w:ilvl w:val="0"/>
          <w:numId w:val="8"/>
        </w:numPr>
        <w:tabs>
          <w:tab w:val="clear" w:pos="420"/>
          <w:tab w:val="num" w:pos="-1260"/>
        </w:tabs>
        <w:spacing w:line="360" w:lineRule="auto"/>
        <w:ind w:left="72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相关信息披露</w:t>
      </w:r>
    </w:p>
    <w:p w14:paraId="26C8A237" w14:textId="77777777" w:rsidR="00EC5C26" w:rsidRPr="00A10FB7" w:rsidRDefault="00EC5C26" w:rsidP="00EC5C26">
      <w:pPr>
        <w:spacing w:line="360" w:lineRule="auto"/>
        <w:rPr>
          <w:rFonts w:ascii="宋体"/>
          <w:szCs w:val="21"/>
        </w:rPr>
      </w:pPr>
      <w:r w:rsidRPr="00A10FB7">
        <w:rPr>
          <w:rFonts w:ascii="宋体" w:hAnsi="宋体"/>
          <w:szCs w:val="21"/>
        </w:rPr>
        <w:t>10</w:t>
      </w:r>
      <w:r w:rsidRPr="00A10FB7">
        <w:rPr>
          <w:rFonts w:ascii="宋体" w:hAnsi="宋体" w:hint="eastAsia"/>
          <w:szCs w:val="21"/>
        </w:rPr>
        <w:t>．会计政策变更、会计估计变更和会计差错更正、资产负债表日后事项</w:t>
      </w:r>
    </w:p>
    <w:p w14:paraId="7A03DCD6" w14:textId="77777777" w:rsidR="00EC5C26" w:rsidRPr="00A10FB7" w:rsidRDefault="00EC5C26" w:rsidP="00EC5C26">
      <w:pPr>
        <w:spacing w:line="360" w:lineRule="auto"/>
        <w:ind w:left="284"/>
        <w:rPr>
          <w:rFonts w:ascii="宋体" w:hAnsi="宋体"/>
          <w:szCs w:val="21"/>
        </w:rPr>
      </w:pPr>
      <w:r w:rsidRPr="00A10FB7">
        <w:rPr>
          <w:rFonts w:ascii="宋体" w:hAnsi="宋体"/>
          <w:szCs w:val="21"/>
        </w:rPr>
        <w:t xml:space="preserve">1)  </w:t>
      </w:r>
      <w:r w:rsidRPr="00A10FB7">
        <w:rPr>
          <w:rFonts w:ascii="宋体" w:hAnsi="宋体" w:hint="eastAsia"/>
          <w:szCs w:val="21"/>
        </w:rPr>
        <w:t>会计政策变更、会计估计变更和会计差错更正的性质、内容及会计处理</w:t>
      </w:r>
    </w:p>
    <w:p w14:paraId="2AEB3BF1" w14:textId="2203C52F" w:rsidR="00B97F7D" w:rsidRPr="00A10FB7" w:rsidRDefault="00EC5C26" w:rsidP="00B97F7D">
      <w:pPr>
        <w:spacing w:line="360" w:lineRule="auto"/>
        <w:ind w:left="284"/>
        <w:rPr>
          <w:rFonts w:ascii="宋体" w:hAnsi="宋体"/>
          <w:szCs w:val="21"/>
        </w:rPr>
      </w:pPr>
      <w:r w:rsidRPr="00A10FB7">
        <w:rPr>
          <w:rFonts w:ascii="宋体" w:hAnsi="宋体"/>
          <w:szCs w:val="21"/>
        </w:rPr>
        <w:t xml:space="preserve">2)  </w:t>
      </w:r>
      <w:r w:rsidRPr="00A10FB7">
        <w:rPr>
          <w:rFonts w:ascii="宋体" w:hAnsi="宋体" w:hint="eastAsia"/>
          <w:szCs w:val="21"/>
        </w:rPr>
        <w:t>资产负债表日后事项的性质、内容及会计处理</w:t>
      </w:r>
    </w:p>
    <w:p w14:paraId="05B06728" w14:textId="4AF62D04" w:rsidR="00B97F7D" w:rsidRPr="00A10FB7" w:rsidRDefault="00B97F7D" w:rsidP="00B97F7D">
      <w:pPr>
        <w:spacing w:line="360" w:lineRule="auto"/>
        <w:ind w:left="284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3） 相关信息披露</w:t>
      </w:r>
    </w:p>
    <w:p w14:paraId="751FA385" w14:textId="77777777" w:rsidR="007E44AB" w:rsidRPr="00A10FB7" w:rsidRDefault="00815EC0" w:rsidP="00815EC0">
      <w:pPr>
        <w:widowControl/>
        <w:snapToGrid w:val="0"/>
        <w:spacing w:line="360" w:lineRule="auto"/>
        <w:rPr>
          <w:rFonts w:ascii="宋体" w:hAnsi="宋体" w:cs="Tahoma"/>
          <w:kern w:val="0"/>
          <w:szCs w:val="21"/>
        </w:rPr>
      </w:pPr>
      <w:r w:rsidRPr="00A10FB7">
        <w:rPr>
          <w:rFonts w:ascii="宋体" w:hAnsi="宋体" w:cs="Tahoma" w:hint="eastAsia"/>
          <w:kern w:val="0"/>
          <w:szCs w:val="21"/>
        </w:rPr>
        <w:t>1</w:t>
      </w:r>
      <w:r w:rsidR="00EC5C26" w:rsidRPr="00A10FB7">
        <w:rPr>
          <w:rFonts w:ascii="宋体" w:hAnsi="宋体" w:cs="Tahoma" w:hint="eastAsia"/>
          <w:kern w:val="0"/>
          <w:szCs w:val="21"/>
        </w:rPr>
        <w:t>1</w:t>
      </w:r>
      <w:r w:rsidRPr="00A10FB7">
        <w:rPr>
          <w:rFonts w:ascii="宋体" w:hAnsi="宋体" w:cs="Tahoma" w:hint="eastAsia"/>
          <w:kern w:val="0"/>
          <w:szCs w:val="21"/>
        </w:rPr>
        <w:t>.</w:t>
      </w:r>
      <w:r w:rsidR="007E44AB" w:rsidRPr="00A10FB7">
        <w:rPr>
          <w:rFonts w:ascii="宋体" w:hAnsi="宋体" w:cs="Tahoma" w:hint="eastAsia"/>
          <w:kern w:val="0"/>
          <w:szCs w:val="21"/>
        </w:rPr>
        <w:t>财务报告</w:t>
      </w:r>
    </w:p>
    <w:p w14:paraId="59D10BAB" w14:textId="5D9B36D3" w:rsidR="007E44AB" w:rsidRPr="00A10FB7" w:rsidRDefault="007E44AB" w:rsidP="0098274D">
      <w:pPr>
        <w:widowControl/>
        <w:numPr>
          <w:ilvl w:val="0"/>
          <w:numId w:val="9"/>
        </w:numPr>
        <w:tabs>
          <w:tab w:val="clear" w:pos="420"/>
          <w:tab w:val="num" w:pos="-1800"/>
        </w:tabs>
        <w:snapToGrid w:val="0"/>
        <w:spacing w:line="360" w:lineRule="auto"/>
        <w:ind w:left="720"/>
        <w:rPr>
          <w:rFonts w:ascii="宋体" w:hAnsi="宋体" w:cs="Tahoma"/>
          <w:kern w:val="0"/>
          <w:szCs w:val="21"/>
        </w:rPr>
      </w:pPr>
      <w:r w:rsidRPr="00A10FB7">
        <w:rPr>
          <w:rFonts w:ascii="宋体" w:hAnsi="宋体" w:cs="Tahoma" w:hint="eastAsia"/>
          <w:kern w:val="0"/>
          <w:szCs w:val="21"/>
        </w:rPr>
        <w:t>财务报告的性质、分类及</w:t>
      </w:r>
      <w:r w:rsidR="00AC3C60" w:rsidRPr="00A10FB7">
        <w:rPr>
          <w:rFonts w:ascii="宋体" w:hAnsi="宋体" w:cs="Tahoma" w:hint="eastAsia"/>
          <w:kern w:val="0"/>
          <w:szCs w:val="21"/>
        </w:rPr>
        <w:t>构成</w:t>
      </w:r>
    </w:p>
    <w:p w14:paraId="43B98925" w14:textId="78400C62" w:rsidR="007E44AB" w:rsidRPr="00A10FB7" w:rsidRDefault="007E44AB" w:rsidP="00896A11">
      <w:pPr>
        <w:widowControl/>
        <w:numPr>
          <w:ilvl w:val="0"/>
          <w:numId w:val="9"/>
        </w:numPr>
        <w:tabs>
          <w:tab w:val="clear" w:pos="420"/>
          <w:tab w:val="num" w:pos="-1800"/>
        </w:tabs>
        <w:snapToGrid w:val="0"/>
        <w:spacing w:line="360" w:lineRule="auto"/>
        <w:ind w:left="720"/>
        <w:rPr>
          <w:rFonts w:ascii="宋体" w:hAnsi="宋体" w:cs="Tahoma"/>
          <w:kern w:val="0"/>
          <w:szCs w:val="21"/>
        </w:rPr>
      </w:pPr>
      <w:r w:rsidRPr="00A10FB7">
        <w:rPr>
          <w:rFonts w:ascii="宋体" w:hAnsi="宋体" w:cs="Tahoma" w:hint="eastAsia"/>
          <w:kern w:val="0"/>
          <w:szCs w:val="21"/>
        </w:rPr>
        <w:t>资产负债表</w:t>
      </w:r>
      <w:r w:rsidR="00F93539" w:rsidRPr="00A10FB7">
        <w:rPr>
          <w:rFonts w:ascii="宋体" w:hAnsi="宋体" w:cs="Tahoma" w:hint="eastAsia"/>
          <w:kern w:val="0"/>
          <w:szCs w:val="21"/>
        </w:rPr>
        <w:t>的</w:t>
      </w:r>
      <w:bookmarkStart w:id="4" w:name="_Hlk44499137"/>
      <w:r w:rsidR="00F93539" w:rsidRPr="00A10FB7">
        <w:rPr>
          <w:rFonts w:ascii="宋体" w:hAnsi="宋体" w:cs="Tahoma" w:hint="eastAsia"/>
          <w:kern w:val="0"/>
          <w:szCs w:val="21"/>
        </w:rPr>
        <w:t>性质、结构、编制</w:t>
      </w:r>
      <w:bookmarkEnd w:id="4"/>
      <w:r w:rsidR="00F828F6" w:rsidRPr="00A10FB7">
        <w:rPr>
          <w:rFonts w:ascii="宋体" w:hAnsi="宋体" w:cs="Tahoma" w:hint="eastAsia"/>
          <w:kern w:val="0"/>
          <w:szCs w:val="21"/>
        </w:rPr>
        <w:t>和</w:t>
      </w:r>
      <w:bookmarkStart w:id="5" w:name="_Hlk44576678"/>
      <w:r w:rsidR="00F828F6" w:rsidRPr="00A10FB7">
        <w:rPr>
          <w:rFonts w:ascii="宋体" w:hAnsi="宋体" w:cs="Tahoma" w:hint="eastAsia"/>
          <w:kern w:val="0"/>
          <w:szCs w:val="21"/>
        </w:rPr>
        <w:t>相关信息理解</w:t>
      </w:r>
      <w:bookmarkEnd w:id="5"/>
    </w:p>
    <w:p w14:paraId="3FCF2B1B" w14:textId="55451682" w:rsidR="007E44AB" w:rsidRPr="00A10FB7" w:rsidRDefault="007E44AB" w:rsidP="0098274D">
      <w:pPr>
        <w:widowControl/>
        <w:numPr>
          <w:ilvl w:val="0"/>
          <w:numId w:val="9"/>
        </w:numPr>
        <w:tabs>
          <w:tab w:val="clear" w:pos="420"/>
          <w:tab w:val="num" w:pos="-1800"/>
        </w:tabs>
        <w:snapToGrid w:val="0"/>
        <w:spacing w:line="360" w:lineRule="auto"/>
        <w:ind w:left="720"/>
        <w:rPr>
          <w:rFonts w:ascii="宋体" w:hAnsi="宋体" w:cs="Tahoma"/>
          <w:kern w:val="0"/>
          <w:szCs w:val="21"/>
        </w:rPr>
      </w:pPr>
      <w:r w:rsidRPr="00A10FB7">
        <w:rPr>
          <w:rFonts w:ascii="宋体" w:hAnsi="宋体" w:cs="Tahoma" w:hint="eastAsia"/>
          <w:kern w:val="0"/>
          <w:szCs w:val="21"/>
        </w:rPr>
        <w:lastRenderedPageBreak/>
        <w:t>利润表</w:t>
      </w:r>
      <w:r w:rsidR="00F93539" w:rsidRPr="00A10FB7">
        <w:rPr>
          <w:rFonts w:ascii="宋体" w:hAnsi="宋体" w:cs="Tahoma" w:hint="eastAsia"/>
          <w:kern w:val="0"/>
          <w:szCs w:val="21"/>
        </w:rPr>
        <w:t>的性质、结构、编制</w:t>
      </w:r>
      <w:r w:rsidR="00F828F6" w:rsidRPr="00A10FB7">
        <w:rPr>
          <w:rFonts w:ascii="宋体" w:hAnsi="宋体" w:cs="Tahoma" w:hint="eastAsia"/>
          <w:kern w:val="0"/>
          <w:szCs w:val="21"/>
        </w:rPr>
        <w:t>和相关信息理解</w:t>
      </w:r>
    </w:p>
    <w:p w14:paraId="09B57C69" w14:textId="6E5E4D78" w:rsidR="007E44AB" w:rsidRPr="00A10FB7" w:rsidRDefault="007E44AB" w:rsidP="0098274D">
      <w:pPr>
        <w:widowControl/>
        <w:numPr>
          <w:ilvl w:val="0"/>
          <w:numId w:val="9"/>
        </w:numPr>
        <w:tabs>
          <w:tab w:val="clear" w:pos="420"/>
          <w:tab w:val="num" w:pos="-1800"/>
        </w:tabs>
        <w:snapToGrid w:val="0"/>
        <w:spacing w:line="360" w:lineRule="auto"/>
        <w:ind w:left="720"/>
        <w:rPr>
          <w:rFonts w:ascii="宋体" w:hAnsi="宋体" w:cs="Tahoma"/>
          <w:kern w:val="0"/>
          <w:szCs w:val="21"/>
        </w:rPr>
      </w:pPr>
      <w:r w:rsidRPr="00A10FB7">
        <w:rPr>
          <w:rFonts w:ascii="宋体" w:hAnsi="宋体" w:cs="Tahoma" w:hint="eastAsia"/>
          <w:kern w:val="0"/>
          <w:szCs w:val="21"/>
        </w:rPr>
        <w:t>现金流量表</w:t>
      </w:r>
      <w:r w:rsidR="00F93539" w:rsidRPr="00A10FB7">
        <w:rPr>
          <w:rFonts w:ascii="宋体" w:hAnsi="宋体" w:cs="Tahoma" w:hint="eastAsia"/>
          <w:kern w:val="0"/>
          <w:szCs w:val="21"/>
        </w:rPr>
        <w:t>的性质、结构、编制</w:t>
      </w:r>
      <w:r w:rsidR="00F828F6" w:rsidRPr="00A10FB7">
        <w:rPr>
          <w:rFonts w:ascii="宋体" w:hAnsi="宋体" w:cs="Tahoma" w:hint="eastAsia"/>
          <w:kern w:val="0"/>
          <w:szCs w:val="21"/>
        </w:rPr>
        <w:t>和相关信息理解</w:t>
      </w:r>
    </w:p>
    <w:p w14:paraId="32CEE0A4" w14:textId="4085FF14" w:rsidR="00F828F6" w:rsidRPr="00A10FB7" w:rsidRDefault="00F828F6" w:rsidP="0098274D">
      <w:pPr>
        <w:widowControl/>
        <w:numPr>
          <w:ilvl w:val="0"/>
          <w:numId w:val="9"/>
        </w:numPr>
        <w:tabs>
          <w:tab w:val="clear" w:pos="420"/>
          <w:tab w:val="num" w:pos="-1800"/>
        </w:tabs>
        <w:snapToGrid w:val="0"/>
        <w:spacing w:line="360" w:lineRule="auto"/>
        <w:ind w:left="720"/>
        <w:rPr>
          <w:rFonts w:ascii="宋体" w:hAnsi="宋体" w:cs="Tahoma"/>
          <w:kern w:val="0"/>
          <w:szCs w:val="21"/>
        </w:rPr>
      </w:pPr>
      <w:r w:rsidRPr="00A10FB7">
        <w:rPr>
          <w:rFonts w:ascii="宋体" w:hAnsi="宋体" w:cs="Tahoma" w:hint="eastAsia"/>
          <w:kern w:val="0"/>
          <w:szCs w:val="21"/>
        </w:rPr>
        <w:t>所有者权益变动表的性质、结构、编制和相关</w:t>
      </w:r>
      <w:proofErr w:type="gramStart"/>
      <w:r w:rsidRPr="00A10FB7">
        <w:rPr>
          <w:rFonts w:ascii="宋体" w:hAnsi="宋体" w:cs="Tahoma" w:hint="eastAsia"/>
          <w:kern w:val="0"/>
          <w:szCs w:val="21"/>
        </w:rPr>
        <w:t>观信息</w:t>
      </w:r>
      <w:proofErr w:type="gramEnd"/>
      <w:r w:rsidRPr="00A10FB7">
        <w:rPr>
          <w:rFonts w:ascii="宋体" w:hAnsi="宋体" w:cs="Tahoma" w:hint="eastAsia"/>
          <w:kern w:val="0"/>
          <w:szCs w:val="21"/>
        </w:rPr>
        <w:t>理解</w:t>
      </w:r>
    </w:p>
    <w:p w14:paraId="12727435" w14:textId="3AF1EEAE" w:rsidR="007E44AB" w:rsidRPr="00A10FB7" w:rsidRDefault="007E44AB" w:rsidP="0098274D">
      <w:pPr>
        <w:widowControl/>
        <w:numPr>
          <w:ilvl w:val="0"/>
          <w:numId w:val="9"/>
        </w:numPr>
        <w:tabs>
          <w:tab w:val="clear" w:pos="420"/>
          <w:tab w:val="num" w:pos="-1800"/>
        </w:tabs>
        <w:snapToGrid w:val="0"/>
        <w:spacing w:line="360" w:lineRule="auto"/>
        <w:ind w:left="720"/>
        <w:rPr>
          <w:rFonts w:ascii="宋体" w:hAnsi="宋体" w:cs="Tahoma"/>
          <w:kern w:val="0"/>
          <w:szCs w:val="21"/>
        </w:rPr>
      </w:pPr>
      <w:r w:rsidRPr="00A10FB7">
        <w:rPr>
          <w:rFonts w:ascii="宋体" w:hAnsi="宋体" w:cs="Tahoma" w:hint="eastAsia"/>
          <w:kern w:val="0"/>
          <w:szCs w:val="21"/>
        </w:rPr>
        <w:t>财务报告附注及说明</w:t>
      </w:r>
      <w:r w:rsidR="00B97F7D" w:rsidRPr="00A10FB7">
        <w:rPr>
          <w:rFonts w:ascii="宋体" w:hAnsi="宋体" w:cs="Tahoma" w:hint="eastAsia"/>
          <w:kern w:val="0"/>
          <w:szCs w:val="21"/>
        </w:rPr>
        <w:t>的性质、内容、编写和</w:t>
      </w:r>
      <w:r w:rsidR="00F828F6" w:rsidRPr="00A10FB7">
        <w:rPr>
          <w:rFonts w:ascii="宋体" w:hAnsi="宋体" w:cs="Tahoma" w:hint="eastAsia"/>
          <w:kern w:val="0"/>
          <w:szCs w:val="21"/>
        </w:rPr>
        <w:t>相关信息理解</w:t>
      </w:r>
    </w:p>
    <w:p w14:paraId="72B35426" w14:textId="3B767A90" w:rsidR="00B97F7D" w:rsidRPr="00A10FB7" w:rsidRDefault="00B97F7D" w:rsidP="00B97F7D">
      <w:pPr>
        <w:spacing w:line="360" w:lineRule="auto"/>
        <w:rPr>
          <w:rFonts w:ascii="宋体" w:hAnsi="宋体"/>
          <w:szCs w:val="21"/>
        </w:rPr>
      </w:pPr>
      <w:r w:rsidRPr="00A10FB7">
        <w:rPr>
          <w:rFonts w:ascii="宋体" w:hAnsi="宋体"/>
          <w:szCs w:val="21"/>
        </w:rPr>
        <w:t>12.</w:t>
      </w:r>
      <w:r w:rsidRPr="00A10FB7">
        <w:rPr>
          <w:rFonts w:ascii="宋体" w:hAnsi="宋体" w:hint="eastAsia"/>
          <w:szCs w:val="21"/>
        </w:rPr>
        <w:t>企业合并和合并财务报表</w:t>
      </w:r>
    </w:p>
    <w:p w14:paraId="64B02F90" w14:textId="75ECAE23" w:rsidR="00B97F7D" w:rsidRPr="00A10FB7" w:rsidRDefault="00B97F7D" w:rsidP="00B97F7D">
      <w:pPr>
        <w:pStyle w:val="a3"/>
        <w:spacing w:line="360" w:lineRule="auto"/>
        <w:ind w:left="420" w:firstLineChars="0" w:firstLine="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1）企业合并的基本理论和相关会计处理</w:t>
      </w:r>
    </w:p>
    <w:p w14:paraId="561D8798" w14:textId="77777777" w:rsidR="00B97F7D" w:rsidRPr="00A10FB7" w:rsidRDefault="00B97F7D" w:rsidP="00B97F7D">
      <w:pPr>
        <w:pStyle w:val="a3"/>
        <w:spacing w:line="360" w:lineRule="auto"/>
        <w:ind w:left="420" w:firstLineChars="0" w:firstLine="0"/>
        <w:rPr>
          <w:rFonts w:ascii="宋体" w:hAnsi="宋体"/>
          <w:szCs w:val="21"/>
        </w:rPr>
      </w:pPr>
      <w:r w:rsidRPr="00A10FB7">
        <w:rPr>
          <w:rFonts w:ascii="宋体" w:hAnsi="宋体"/>
          <w:szCs w:val="21"/>
        </w:rPr>
        <w:t>2</w:t>
      </w:r>
      <w:r w:rsidRPr="00A10FB7">
        <w:rPr>
          <w:rFonts w:ascii="宋体" w:hAnsi="宋体" w:hint="eastAsia"/>
          <w:szCs w:val="21"/>
        </w:rPr>
        <w:t>）合并财务报表的基本理论</w:t>
      </w:r>
    </w:p>
    <w:p w14:paraId="4BE0C13D" w14:textId="72543863" w:rsidR="00D70DFE" w:rsidRPr="00A10FB7" w:rsidRDefault="00D70DFE" w:rsidP="00815EC0">
      <w:pPr>
        <w:spacing w:line="360" w:lineRule="auto"/>
        <w:rPr>
          <w:rFonts w:ascii="Times New Roman"/>
          <w:b/>
        </w:rPr>
      </w:pPr>
    </w:p>
    <w:p w14:paraId="08620C8B" w14:textId="77777777" w:rsidR="00C12C58" w:rsidRPr="00A10FB7" w:rsidRDefault="00C12C58" w:rsidP="008A1C61">
      <w:pPr>
        <w:spacing w:beforeLines="50" w:before="156" w:afterLines="50" w:after="156" w:line="360" w:lineRule="auto"/>
        <w:rPr>
          <w:rFonts w:ascii="Times New Roman" w:hAnsi="Times New Roman"/>
          <w:b/>
          <w:sz w:val="24"/>
          <w:szCs w:val="24"/>
        </w:rPr>
      </w:pPr>
      <w:r w:rsidRPr="00A10FB7">
        <w:rPr>
          <w:rFonts w:ascii="Times New Roman" w:hint="eastAsia"/>
          <w:b/>
          <w:sz w:val="24"/>
          <w:szCs w:val="24"/>
        </w:rPr>
        <w:t>（</w:t>
      </w:r>
      <w:r w:rsidRPr="00A10FB7">
        <w:rPr>
          <w:rFonts w:ascii="Times New Roman"/>
          <w:b/>
          <w:sz w:val="24"/>
          <w:szCs w:val="24"/>
        </w:rPr>
        <w:t>二</w:t>
      </w:r>
      <w:r w:rsidRPr="00A10FB7">
        <w:rPr>
          <w:rFonts w:ascii="Times New Roman" w:hint="eastAsia"/>
          <w:b/>
          <w:sz w:val="24"/>
          <w:szCs w:val="24"/>
        </w:rPr>
        <w:t>）财务管理</w:t>
      </w:r>
      <w:r w:rsidRPr="00A10FB7">
        <w:rPr>
          <w:rFonts w:ascii="Times New Roman"/>
          <w:b/>
          <w:sz w:val="24"/>
          <w:szCs w:val="24"/>
        </w:rPr>
        <w:t>部分</w:t>
      </w:r>
    </w:p>
    <w:p w14:paraId="3487D9A2" w14:textId="77777777" w:rsidR="00C12C58" w:rsidRPr="00A10FB7" w:rsidRDefault="00C12C58" w:rsidP="00C12C58">
      <w:pPr>
        <w:pStyle w:val="a4"/>
        <w:spacing w:line="360" w:lineRule="auto"/>
        <w:ind w:firstLine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1.总论</w:t>
      </w:r>
    </w:p>
    <w:p w14:paraId="5AB4EAF9" w14:textId="77777777" w:rsidR="00C12C58" w:rsidRPr="00A10FB7" w:rsidRDefault="00C12C58" w:rsidP="00C12C58">
      <w:pPr>
        <w:pStyle w:val="a6"/>
        <w:numPr>
          <w:ilvl w:val="0"/>
          <w:numId w:val="25"/>
        </w:numPr>
        <w:spacing w:line="360" w:lineRule="auto"/>
        <w:ind w:left="709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财务基本概念</w:t>
      </w:r>
    </w:p>
    <w:p w14:paraId="69A74B77" w14:textId="77777777" w:rsidR="00C12C58" w:rsidRPr="00A10FB7" w:rsidRDefault="00C12C58" w:rsidP="00C12C58">
      <w:pPr>
        <w:pStyle w:val="a6"/>
        <w:numPr>
          <w:ilvl w:val="0"/>
          <w:numId w:val="25"/>
        </w:numPr>
        <w:spacing w:line="360" w:lineRule="auto"/>
        <w:ind w:left="709"/>
        <w:outlineLvl w:val="1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财务管理的目标</w:t>
      </w:r>
    </w:p>
    <w:p w14:paraId="5206FB7B" w14:textId="77777777" w:rsidR="00C12C58" w:rsidRPr="00A10FB7" w:rsidRDefault="00C12C58" w:rsidP="00C12C58">
      <w:pPr>
        <w:pStyle w:val="a6"/>
        <w:numPr>
          <w:ilvl w:val="0"/>
          <w:numId w:val="25"/>
        </w:numPr>
        <w:spacing w:line="360" w:lineRule="auto"/>
        <w:ind w:left="709"/>
        <w:outlineLvl w:val="1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企业组织形式</w:t>
      </w:r>
    </w:p>
    <w:p w14:paraId="70EA830F" w14:textId="77777777" w:rsidR="00C12C58" w:rsidRPr="00A10FB7" w:rsidRDefault="00C12C58" w:rsidP="00C12C58">
      <w:pPr>
        <w:pStyle w:val="a6"/>
        <w:numPr>
          <w:ilvl w:val="0"/>
          <w:numId w:val="25"/>
        </w:numPr>
        <w:spacing w:line="360" w:lineRule="auto"/>
        <w:ind w:left="709"/>
        <w:outlineLvl w:val="1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财务关系及财务管理内容</w:t>
      </w:r>
    </w:p>
    <w:p w14:paraId="6FB2CD6F" w14:textId="77777777" w:rsidR="00C12C58" w:rsidRPr="00A10FB7" w:rsidRDefault="00C12C58" w:rsidP="00C12C58">
      <w:pPr>
        <w:pStyle w:val="a6"/>
        <w:numPr>
          <w:ilvl w:val="0"/>
          <w:numId w:val="25"/>
        </w:numPr>
        <w:spacing w:line="360" w:lineRule="auto"/>
        <w:ind w:left="709"/>
        <w:outlineLvl w:val="1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财务管理环境</w:t>
      </w:r>
    </w:p>
    <w:p w14:paraId="3980063F" w14:textId="77777777" w:rsidR="00C12C58" w:rsidRPr="00A10FB7" w:rsidRDefault="00C12C58" w:rsidP="00C12C58">
      <w:pPr>
        <w:pStyle w:val="a4"/>
        <w:spacing w:line="360" w:lineRule="auto"/>
        <w:ind w:firstLine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2.财务管理价值观念</w:t>
      </w:r>
    </w:p>
    <w:p w14:paraId="7F7C8084" w14:textId="77777777" w:rsidR="00C12C58" w:rsidRPr="00A10FB7" w:rsidRDefault="00C12C58" w:rsidP="00C12C58">
      <w:pPr>
        <w:pStyle w:val="a4"/>
        <w:numPr>
          <w:ilvl w:val="0"/>
          <w:numId w:val="26"/>
        </w:numPr>
        <w:spacing w:line="360" w:lineRule="auto"/>
        <w:ind w:left="709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货币时间价值</w:t>
      </w:r>
    </w:p>
    <w:p w14:paraId="665B3BCA" w14:textId="77777777" w:rsidR="00C12C58" w:rsidRPr="00A10FB7" w:rsidRDefault="00C12C58" w:rsidP="00C12C58">
      <w:pPr>
        <w:pStyle w:val="a4"/>
        <w:numPr>
          <w:ilvl w:val="0"/>
          <w:numId w:val="26"/>
        </w:numPr>
        <w:spacing w:line="360" w:lineRule="auto"/>
        <w:ind w:left="709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风险与报酬的关系</w:t>
      </w:r>
    </w:p>
    <w:p w14:paraId="5511ADB1" w14:textId="77777777" w:rsidR="00C12C58" w:rsidRPr="00A10FB7" w:rsidRDefault="00C12C58" w:rsidP="00C12C58">
      <w:pPr>
        <w:pStyle w:val="a4"/>
        <w:spacing w:line="360" w:lineRule="auto"/>
        <w:ind w:firstLine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3.财务分析</w:t>
      </w:r>
    </w:p>
    <w:p w14:paraId="22413C10" w14:textId="77777777" w:rsidR="00C12C58" w:rsidRPr="00A10FB7" w:rsidRDefault="00C12C58" w:rsidP="00C12C58">
      <w:pPr>
        <w:pStyle w:val="a4"/>
        <w:numPr>
          <w:ilvl w:val="1"/>
          <w:numId w:val="27"/>
        </w:numPr>
        <w:spacing w:line="360" w:lineRule="auto"/>
        <w:ind w:left="709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财务分析概述</w:t>
      </w:r>
    </w:p>
    <w:p w14:paraId="3BAA06B5" w14:textId="77777777" w:rsidR="00C12C58" w:rsidRPr="00A10FB7" w:rsidRDefault="00C12C58" w:rsidP="00C12C58">
      <w:pPr>
        <w:pStyle w:val="a6"/>
        <w:numPr>
          <w:ilvl w:val="1"/>
          <w:numId w:val="27"/>
        </w:numPr>
        <w:spacing w:line="360" w:lineRule="auto"/>
        <w:ind w:left="709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财务比率分析</w:t>
      </w:r>
    </w:p>
    <w:p w14:paraId="04D01FE1" w14:textId="77777777" w:rsidR="00C12C58" w:rsidRPr="00A10FB7" w:rsidRDefault="00C12C58" w:rsidP="00C12C58">
      <w:pPr>
        <w:pStyle w:val="a6"/>
        <w:numPr>
          <w:ilvl w:val="1"/>
          <w:numId w:val="27"/>
        </w:numPr>
        <w:spacing w:line="360" w:lineRule="auto"/>
        <w:ind w:left="709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财务状况综合分析</w:t>
      </w:r>
    </w:p>
    <w:p w14:paraId="3F63B136" w14:textId="77777777" w:rsidR="00C12C58" w:rsidRPr="00A10FB7" w:rsidRDefault="00C12C58" w:rsidP="00C12C58">
      <w:pPr>
        <w:pStyle w:val="a6"/>
        <w:spacing w:line="360" w:lineRule="auto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4.项目投资管理</w:t>
      </w:r>
    </w:p>
    <w:p w14:paraId="6E92407A" w14:textId="77777777" w:rsidR="00C12C58" w:rsidRPr="00A10FB7" w:rsidRDefault="00C12C58" w:rsidP="00C12C58">
      <w:pPr>
        <w:pStyle w:val="a6"/>
        <w:numPr>
          <w:ilvl w:val="1"/>
          <w:numId w:val="28"/>
        </w:numPr>
        <w:spacing w:line="360" w:lineRule="auto"/>
        <w:ind w:left="709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现金流量的测算</w:t>
      </w:r>
    </w:p>
    <w:p w14:paraId="7BC07CAE" w14:textId="77777777" w:rsidR="00C12C58" w:rsidRPr="00A10FB7" w:rsidRDefault="00C12C58" w:rsidP="00C12C58">
      <w:pPr>
        <w:pStyle w:val="a6"/>
        <w:numPr>
          <w:ilvl w:val="1"/>
          <w:numId w:val="28"/>
        </w:numPr>
        <w:spacing w:line="360" w:lineRule="auto"/>
        <w:ind w:left="709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常用决策指标计算</w:t>
      </w:r>
    </w:p>
    <w:p w14:paraId="227C22DD" w14:textId="77777777" w:rsidR="00C12C58" w:rsidRPr="00A10FB7" w:rsidRDefault="00C12C58" w:rsidP="00C12C58">
      <w:pPr>
        <w:pStyle w:val="a3"/>
        <w:numPr>
          <w:ilvl w:val="1"/>
          <w:numId w:val="28"/>
        </w:numPr>
        <w:spacing w:line="360" w:lineRule="auto"/>
        <w:ind w:left="709" w:firstLineChars="0"/>
        <w:outlineLvl w:val="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项目投资可行性分析</w:t>
      </w:r>
    </w:p>
    <w:p w14:paraId="0F52314F" w14:textId="3F6215FF" w:rsidR="00C12C58" w:rsidRPr="00A10FB7" w:rsidRDefault="002060DC" w:rsidP="00C12C58">
      <w:pPr>
        <w:pStyle w:val="a6"/>
        <w:numPr>
          <w:ilvl w:val="1"/>
          <w:numId w:val="28"/>
        </w:numPr>
        <w:spacing w:line="360" w:lineRule="auto"/>
        <w:ind w:left="709"/>
        <w:outlineLvl w:val="0"/>
        <w:rPr>
          <w:rFonts w:hAnsi="宋体"/>
          <w:szCs w:val="21"/>
        </w:rPr>
      </w:pPr>
      <w:r w:rsidRPr="00A10FB7">
        <w:rPr>
          <w:rFonts w:hint="eastAsia"/>
        </w:rPr>
        <w:t>项目投资决策案例分析</w:t>
      </w:r>
    </w:p>
    <w:p w14:paraId="5F3A5FF1" w14:textId="77777777" w:rsidR="00C12C58" w:rsidRPr="00A10FB7" w:rsidRDefault="00C12C58" w:rsidP="00C12C58">
      <w:pPr>
        <w:pStyle w:val="a6"/>
        <w:spacing w:line="360" w:lineRule="auto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5.证券投资管理</w:t>
      </w:r>
    </w:p>
    <w:p w14:paraId="5D7F7BE3" w14:textId="77777777" w:rsidR="00C12C58" w:rsidRPr="00A10FB7" w:rsidRDefault="00C12C58" w:rsidP="00C12C58">
      <w:pPr>
        <w:pStyle w:val="a6"/>
        <w:numPr>
          <w:ilvl w:val="1"/>
          <w:numId w:val="29"/>
        </w:numPr>
        <w:spacing w:line="360" w:lineRule="auto"/>
        <w:ind w:left="709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证券资产的财务特点</w:t>
      </w:r>
    </w:p>
    <w:p w14:paraId="7EC09D69" w14:textId="77777777" w:rsidR="00C12C58" w:rsidRPr="00A10FB7" w:rsidRDefault="00C12C58" w:rsidP="00C12C58">
      <w:pPr>
        <w:pStyle w:val="a6"/>
        <w:numPr>
          <w:ilvl w:val="1"/>
          <w:numId w:val="29"/>
        </w:numPr>
        <w:spacing w:line="360" w:lineRule="auto"/>
        <w:ind w:left="709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lastRenderedPageBreak/>
        <w:t>债券评估</w:t>
      </w:r>
    </w:p>
    <w:p w14:paraId="3E63BF34" w14:textId="77777777" w:rsidR="00C12C58" w:rsidRPr="00A10FB7" w:rsidRDefault="00C12C58" w:rsidP="00C12C58">
      <w:pPr>
        <w:pStyle w:val="a6"/>
        <w:numPr>
          <w:ilvl w:val="1"/>
          <w:numId w:val="29"/>
        </w:numPr>
        <w:spacing w:line="360" w:lineRule="auto"/>
        <w:ind w:left="709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股票评价</w:t>
      </w:r>
    </w:p>
    <w:p w14:paraId="13AB03B0" w14:textId="77777777" w:rsidR="00C12C58" w:rsidRPr="00A10FB7" w:rsidRDefault="00C12C58" w:rsidP="00C12C58">
      <w:pPr>
        <w:pStyle w:val="a6"/>
        <w:numPr>
          <w:ilvl w:val="1"/>
          <w:numId w:val="29"/>
        </w:numPr>
        <w:spacing w:line="360" w:lineRule="auto"/>
        <w:ind w:left="709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证券投资组合</w:t>
      </w:r>
    </w:p>
    <w:p w14:paraId="22B92997" w14:textId="77777777" w:rsidR="00C12C58" w:rsidRPr="00A10FB7" w:rsidRDefault="00C12C58" w:rsidP="00C12C58">
      <w:pPr>
        <w:pStyle w:val="a6"/>
        <w:numPr>
          <w:ilvl w:val="1"/>
          <w:numId w:val="29"/>
        </w:numPr>
        <w:spacing w:line="360" w:lineRule="auto"/>
        <w:ind w:left="709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资本资产定价模型</w:t>
      </w:r>
    </w:p>
    <w:p w14:paraId="347D579A" w14:textId="77777777" w:rsidR="00C12C58" w:rsidRPr="00A10FB7" w:rsidRDefault="00C12C58" w:rsidP="00C12C58">
      <w:pPr>
        <w:pStyle w:val="a6"/>
        <w:spacing w:line="360" w:lineRule="auto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6.流动资产管理</w:t>
      </w:r>
    </w:p>
    <w:p w14:paraId="47968F4E" w14:textId="77777777" w:rsidR="00C12C58" w:rsidRPr="00A10FB7" w:rsidRDefault="00C12C58" w:rsidP="00C12C58">
      <w:pPr>
        <w:pStyle w:val="a6"/>
        <w:numPr>
          <w:ilvl w:val="1"/>
          <w:numId w:val="26"/>
        </w:numPr>
        <w:spacing w:line="360" w:lineRule="auto"/>
        <w:ind w:left="709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现金及有价证券管理</w:t>
      </w:r>
    </w:p>
    <w:p w14:paraId="76046D70" w14:textId="77777777" w:rsidR="00C12C58" w:rsidRPr="00A10FB7" w:rsidRDefault="00C12C58" w:rsidP="00C12C58">
      <w:pPr>
        <w:pStyle w:val="a6"/>
        <w:numPr>
          <w:ilvl w:val="1"/>
          <w:numId w:val="26"/>
        </w:numPr>
        <w:spacing w:line="360" w:lineRule="auto"/>
        <w:ind w:left="709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应收</w:t>
      </w:r>
      <w:proofErr w:type="gramStart"/>
      <w:r w:rsidRPr="00A10FB7">
        <w:rPr>
          <w:rFonts w:hAnsi="宋体" w:hint="eastAsia"/>
          <w:szCs w:val="21"/>
        </w:rPr>
        <w:t>帐款</w:t>
      </w:r>
      <w:proofErr w:type="gramEnd"/>
      <w:r w:rsidRPr="00A10FB7">
        <w:rPr>
          <w:rFonts w:hAnsi="宋体" w:hint="eastAsia"/>
          <w:szCs w:val="21"/>
        </w:rPr>
        <w:t>管理</w:t>
      </w:r>
    </w:p>
    <w:p w14:paraId="22E7542E" w14:textId="77777777" w:rsidR="00C12C58" w:rsidRPr="00A10FB7" w:rsidRDefault="00C12C58" w:rsidP="00C12C58">
      <w:pPr>
        <w:pStyle w:val="a6"/>
        <w:numPr>
          <w:ilvl w:val="1"/>
          <w:numId w:val="26"/>
        </w:numPr>
        <w:spacing w:line="360" w:lineRule="auto"/>
        <w:ind w:left="709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存货管理</w:t>
      </w:r>
    </w:p>
    <w:p w14:paraId="1F95312B" w14:textId="77777777" w:rsidR="00C12C58" w:rsidRPr="00A10FB7" w:rsidRDefault="00C12C58" w:rsidP="00C12C58">
      <w:pPr>
        <w:pStyle w:val="a6"/>
        <w:spacing w:line="360" w:lineRule="auto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7.营运资金管理</w:t>
      </w:r>
    </w:p>
    <w:p w14:paraId="398C0AE6" w14:textId="77777777" w:rsidR="00C12C58" w:rsidRPr="00A10FB7" w:rsidRDefault="00C12C58" w:rsidP="00C12C58">
      <w:pPr>
        <w:pStyle w:val="a6"/>
        <w:numPr>
          <w:ilvl w:val="0"/>
          <w:numId w:val="30"/>
        </w:numPr>
        <w:spacing w:line="360" w:lineRule="auto"/>
        <w:ind w:left="709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营运资金的管理要求</w:t>
      </w:r>
    </w:p>
    <w:p w14:paraId="4C8AEFF2" w14:textId="77777777" w:rsidR="00C12C58" w:rsidRPr="00A10FB7" w:rsidRDefault="00C12C58" w:rsidP="00C12C58">
      <w:pPr>
        <w:pStyle w:val="a6"/>
        <w:numPr>
          <w:ilvl w:val="0"/>
          <w:numId w:val="30"/>
        </w:numPr>
        <w:spacing w:line="360" w:lineRule="auto"/>
        <w:ind w:left="709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流动负债管理</w:t>
      </w:r>
    </w:p>
    <w:p w14:paraId="09240151" w14:textId="77777777" w:rsidR="00C12C58" w:rsidRPr="00A10FB7" w:rsidRDefault="00C12C58" w:rsidP="00C12C58">
      <w:pPr>
        <w:pStyle w:val="a6"/>
        <w:numPr>
          <w:ilvl w:val="0"/>
          <w:numId w:val="30"/>
        </w:numPr>
        <w:spacing w:line="360" w:lineRule="auto"/>
        <w:ind w:left="709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营运资金需求预测</w:t>
      </w:r>
    </w:p>
    <w:p w14:paraId="45533134" w14:textId="77777777" w:rsidR="00C12C58" w:rsidRPr="00A10FB7" w:rsidRDefault="00C12C58" w:rsidP="00C12C58">
      <w:pPr>
        <w:pStyle w:val="a6"/>
        <w:numPr>
          <w:ilvl w:val="0"/>
          <w:numId w:val="30"/>
        </w:numPr>
        <w:spacing w:line="360" w:lineRule="auto"/>
        <w:ind w:left="709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营运资金政策</w:t>
      </w:r>
    </w:p>
    <w:p w14:paraId="23937B3F" w14:textId="77777777" w:rsidR="00C12C58" w:rsidRPr="00A10FB7" w:rsidRDefault="00C12C58" w:rsidP="00C12C58">
      <w:pPr>
        <w:pStyle w:val="a6"/>
        <w:spacing w:line="360" w:lineRule="auto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8.筹资管理</w:t>
      </w:r>
    </w:p>
    <w:p w14:paraId="6BEBF42E" w14:textId="77777777" w:rsidR="00C12C58" w:rsidRPr="00A10FB7" w:rsidRDefault="00C12C58" w:rsidP="00C12C58">
      <w:pPr>
        <w:pStyle w:val="a4"/>
        <w:numPr>
          <w:ilvl w:val="0"/>
          <w:numId w:val="31"/>
        </w:numPr>
        <w:spacing w:line="360" w:lineRule="auto"/>
        <w:ind w:left="709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筹资方式</w:t>
      </w:r>
    </w:p>
    <w:p w14:paraId="56036FD0" w14:textId="77777777" w:rsidR="00C12C58" w:rsidRPr="00A10FB7" w:rsidRDefault="00C12C58" w:rsidP="00C12C58">
      <w:pPr>
        <w:pStyle w:val="a4"/>
        <w:numPr>
          <w:ilvl w:val="0"/>
          <w:numId w:val="31"/>
        </w:numPr>
        <w:spacing w:line="360" w:lineRule="auto"/>
        <w:ind w:left="709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资本成本</w:t>
      </w:r>
    </w:p>
    <w:p w14:paraId="5CE55601" w14:textId="77777777" w:rsidR="00C12C58" w:rsidRPr="00A10FB7" w:rsidRDefault="00C12C58" w:rsidP="00C12C58">
      <w:pPr>
        <w:pStyle w:val="a4"/>
        <w:numPr>
          <w:ilvl w:val="0"/>
          <w:numId w:val="31"/>
        </w:numPr>
        <w:spacing w:line="360" w:lineRule="auto"/>
        <w:ind w:left="709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资本结构理论</w:t>
      </w:r>
    </w:p>
    <w:p w14:paraId="65213D3A" w14:textId="77777777" w:rsidR="00C12C58" w:rsidRPr="00A10FB7" w:rsidRDefault="00C12C58" w:rsidP="00C12C58">
      <w:pPr>
        <w:pStyle w:val="a4"/>
        <w:numPr>
          <w:ilvl w:val="0"/>
          <w:numId w:val="31"/>
        </w:numPr>
        <w:spacing w:line="360" w:lineRule="auto"/>
        <w:ind w:left="709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杠杆效应</w:t>
      </w:r>
    </w:p>
    <w:p w14:paraId="4736C43E" w14:textId="77777777" w:rsidR="00C12C58" w:rsidRPr="00A10FB7" w:rsidRDefault="00C12C58" w:rsidP="00C12C58">
      <w:pPr>
        <w:pStyle w:val="a4"/>
        <w:numPr>
          <w:ilvl w:val="0"/>
          <w:numId w:val="31"/>
        </w:numPr>
        <w:spacing w:line="360" w:lineRule="auto"/>
        <w:ind w:left="709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资本结构决策</w:t>
      </w:r>
    </w:p>
    <w:p w14:paraId="1B136720" w14:textId="77777777" w:rsidR="00C12C58" w:rsidRPr="00A10FB7" w:rsidRDefault="00C12C58" w:rsidP="00C12C58">
      <w:pPr>
        <w:pStyle w:val="a6"/>
        <w:spacing w:line="360" w:lineRule="auto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9.股利理论与股利政策</w:t>
      </w:r>
    </w:p>
    <w:p w14:paraId="5267FFFB" w14:textId="77777777" w:rsidR="00C12C58" w:rsidRPr="00A10FB7" w:rsidRDefault="00C12C58" w:rsidP="00C12C58">
      <w:pPr>
        <w:pStyle w:val="a6"/>
        <w:numPr>
          <w:ilvl w:val="0"/>
          <w:numId w:val="32"/>
        </w:numPr>
        <w:spacing w:line="360" w:lineRule="auto"/>
        <w:ind w:left="709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股利及分配</w:t>
      </w:r>
    </w:p>
    <w:p w14:paraId="7AD4135A" w14:textId="77777777" w:rsidR="00C12C58" w:rsidRPr="00A10FB7" w:rsidRDefault="00C12C58" w:rsidP="00C12C58">
      <w:pPr>
        <w:pStyle w:val="a3"/>
        <w:numPr>
          <w:ilvl w:val="0"/>
          <w:numId w:val="32"/>
        </w:numPr>
        <w:spacing w:line="360" w:lineRule="auto"/>
        <w:ind w:left="709" w:firstLineChars="0"/>
        <w:outlineLvl w:val="0"/>
        <w:rPr>
          <w:rFonts w:ascii="宋体" w:hAnsi="宋体"/>
          <w:szCs w:val="21"/>
        </w:rPr>
      </w:pPr>
      <w:r w:rsidRPr="00A10FB7">
        <w:rPr>
          <w:rFonts w:ascii="宋体" w:hAnsi="宋体" w:hint="eastAsia"/>
          <w:szCs w:val="21"/>
        </w:rPr>
        <w:t>股利理论</w:t>
      </w:r>
    </w:p>
    <w:p w14:paraId="34F7555D" w14:textId="77777777" w:rsidR="00C12C58" w:rsidRPr="00A10FB7" w:rsidRDefault="00C12C58" w:rsidP="00C12C58">
      <w:pPr>
        <w:pStyle w:val="a6"/>
        <w:numPr>
          <w:ilvl w:val="0"/>
          <w:numId w:val="32"/>
        </w:numPr>
        <w:spacing w:line="360" w:lineRule="auto"/>
        <w:ind w:left="709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影响股利政策的因素</w:t>
      </w:r>
    </w:p>
    <w:p w14:paraId="0F929965" w14:textId="77777777" w:rsidR="00C12C58" w:rsidRPr="00A10FB7" w:rsidRDefault="00C12C58" w:rsidP="00C12C58">
      <w:pPr>
        <w:pStyle w:val="a6"/>
        <w:numPr>
          <w:ilvl w:val="0"/>
          <w:numId w:val="32"/>
        </w:numPr>
        <w:spacing w:line="360" w:lineRule="auto"/>
        <w:ind w:left="709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股利政策</w:t>
      </w:r>
    </w:p>
    <w:p w14:paraId="06136B8C" w14:textId="77777777" w:rsidR="00C12C58" w:rsidRPr="00A10FB7" w:rsidRDefault="00C12C58" w:rsidP="00C12C58">
      <w:pPr>
        <w:pStyle w:val="a6"/>
        <w:numPr>
          <w:ilvl w:val="0"/>
          <w:numId w:val="32"/>
        </w:numPr>
        <w:spacing w:line="360" w:lineRule="auto"/>
        <w:ind w:left="709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股票股利与股票分割</w:t>
      </w:r>
    </w:p>
    <w:p w14:paraId="321181A6" w14:textId="77777777" w:rsidR="00C12C58" w:rsidRPr="00A10FB7" w:rsidRDefault="00C12C58" w:rsidP="00C12C58">
      <w:pPr>
        <w:pStyle w:val="a6"/>
        <w:spacing w:line="360" w:lineRule="auto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10.全面预算管理</w:t>
      </w:r>
    </w:p>
    <w:p w14:paraId="64A78216" w14:textId="77777777" w:rsidR="00C12C58" w:rsidRPr="00A10FB7" w:rsidRDefault="00C12C58" w:rsidP="00C12C58">
      <w:pPr>
        <w:pStyle w:val="a6"/>
        <w:numPr>
          <w:ilvl w:val="0"/>
          <w:numId w:val="33"/>
        </w:numPr>
        <w:spacing w:line="360" w:lineRule="auto"/>
        <w:ind w:left="709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基本理论</w:t>
      </w:r>
    </w:p>
    <w:p w14:paraId="09367C75" w14:textId="77777777" w:rsidR="00C12C58" w:rsidRPr="00A10FB7" w:rsidRDefault="00C12C58" w:rsidP="00C12C58">
      <w:pPr>
        <w:pStyle w:val="a6"/>
        <w:numPr>
          <w:ilvl w:val="0"/>
          <w:numId w:val="33"/>
        </w:numPr>
        <w:spacing w:line="360" w:lineRule="auto"/>
        <w:ind w:left="709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企业预算的分类</w:t>
      </w:r>
    </w:p>
    <w:p w14:paraId="0A514EA7" w14:textId="77777777" w:rsidR="00C12C58" w:rsidRPr="00A10FB7" w:rsidRDefault="00C12C58" w:rsidP="00C12C58">
      <w:pPr>
        <w:pStyle w:val="a6"/>
        <w:numPr>
          <w:ilvl w:val="0"/>
          <w:numId w:val="33"/>
        </w:numPr>
        <w:spacing w:line="360" w:lineRule="auto"/>
        <w:ind w:left="709"/>
        <w:outlineLvl w:val="0"/>
        <w:rPr>
          <w:rFonts w:hAnsi="宋体"/>
          <w:szCs w:val="21"/>
        </w:rPr>
      </w:pPr>
      <w:r w:rsidRPr="00A10FB7">
        <w:rPr>
          <w:rFonts w:hAnsi="宋体" w:hint="eastAsia"/>
          <w:szCs w:val="21"/>
        </w:rPr>
        <w:t>全面预算体系的编制</w:t>
      </w:r>
    </w:p>
    <w:p w14:paraId="6C430E58" w14:textId="77777777" w:rsidR="00815EC0" w:rsidRPr="00A10FB7" w:rsidRDefault="00815EC0" w:rsidP="00815EC0">
      <w:pPr>
        <w:spacing w:line="360" w:lineRule="auto"/>
        <w:rPr>
          <w:rFonts w:ascii="Times New Roman" w:hAnsi="Times New Roman"/>
        </w:rPr>
      </w:pPr>
    </w:p>
    <w:p w14:paraId="1F2E78ED" w14:textId="77777777" w:rsidR="003A617E" w:rsidRPr="00A10FB7" w:rsidRDefault="006A7154" w:rsidP="00815EC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10FB7">
        <w:rPr>
          <w:rFonts w:ascii="Times New Roman" w:hAnsi="Times New Roman" w:hint="eastAsia"/>
          <w:b/>
          <w:sz w:val="24"/>
          <w:szCs w:val="24"/>
        </w:rPr>
        <w:lastRenderedPageBreak/>
        <w:t>四、考试方式与分值</w:t>
      </w:r>
    </w:p>
    <w:p w14:paraId="54E1D9FD" w14:textId="5358BACF" w:rsidR="006A7154" w:rsidRPr="00AC066F" w:rsidRDefault="006A7154" w:rsidP="00815EC0">
      <w:pPr>
        <w:spacing w:line="360" w:lineRule="auto"/>
        <w:ind w:firstLineChars="200" w:firstLine="420"/>
        <w:rPr>
          <w:rFonts w:ascii="Times New Roman" w:hAnsi="Times New Roman"/>
        </w:rPr>
      </w:pPr>
      <w:r w:rsidRPr="00A10FB7">
        <w:rPr>
          <w:rFonts w:ascii="Times New Roman"/>
        </w:rPr>
        <w:t>本</w:t>
      </w:r>
      <w:r w:rsidRPr="00A10FB7">
        <w:rPr>
          <w:rFonts w:ascii="Times New Roman" w:hint="eastAsia"/>
        </w:rPr>
        <w:t>科目</w:t>
      </w:r>
      <w:r w:rsidRPr="00A10FB7">
        <w:rPr>
          <w:rFonts w:ascii="Times New Roman"/>
        </w:rPr>
        <w:t>考试满分为</w:t>
      </w:r>
      <w:r w:rsidRPr="00A10FB7">
        <w:rPr>
          <w:rFonts w:ascii="Times New Roman" w:hAnsi="Times New Roman"/>
        </w:rPr>
        <w:t>150</w:t>
      </w:r>
      <w:r w:rsidRPr="00A10FB7">
        <w:rPr>
          <w:rFonts w:ascii="Times New Roman"/>
        </w:rPr>
        <w:t>分</w:t>
      </w:r>
      <w:r w:rsidR="00815EC0" w:rsidRPr="00A10FB7">
        <w:rPr>
          <w:rFonts w:ascii="Times New Roman" w:hint="eastAsia"/>
        </w:rPr>
        <w:t>，包括会计学</w:t>
      </w:r>
      <w:r w:rsidR="002060DC" w:rsidRPr="00A10FB7">
        <w:rPr>
          <w:rFonts w:ascii="Times New Roman" w:hint="eastAsia"/>
        </w:rPr>
        <w:t>和</w:t>
      </w:r>
      <w:r w:rsidR="00815EC0" w:rsidRPr="00A10FB7">
        <w:rPr>
          <w:rFonts w:ascii="Times New Roman" w:hint="eastAsia"/>
        </w:rPr>
        <w:t>财务管理</w:t>
      </w:r>
      <w:r w:rsidR="002060DC" w:rsidRPr="00A10FB7">
        <w:rPr>
          <w:rFonts w:ascii="Times New Roman" w:hint="eastAsia"/>
        </w:rPr>
        <w:t>两</w:t>
      </w:r>
      <w:r w:rsidR="00815EC0" w:rsidRPr="00A10FB7">
        <w:rPr>
          <w:rFonts w:ascii="Times New Roman" w:hint="eastAsia"/>
        </w:rPr>
        <w:t>个部分，</w:t>
      </w:r>
      <w:r w:rsidR="001860F6" w:rsidRPr="00A10FB7">
        <w:rPr>
          <w:rFonts w:ascii="Times New Roman" w:hint="eastAsia"/>
        </w:rPr>
        <w:t>每部分分值为</w:t>
      </w:r>
      <w:r w:rsidR="001860F6" w:rsidRPr="00A10FB7">
        <w:rPr>
          <w:rFonts w:ascii="Times New Roman" w:hint="eastAsia"/>
        </w:rPr>
        <w:t>75</w:t>
      </w:r>
      <w:r w:rsidR="001860F6" w:rsidRPr="00A10FB7">
        <w:rPr>
          <w:rFonts w:ascii="Times New Roman" w:hint="eastAsia"/>
        </w:rPr>
        <w:t>分。</w:t>
      </w:r>
      <w:r w:rsidRPr="00A10FB7">
        <w:rPr>
          <w:rFonts w:ascii="宋体" w:hAnsi="宋体"/>
          <w:szCs w:val="21"/>
        </w:rPr>
        <w:t>由培养单位自行命题，全国统一考试。</w:t>
      </w:r>
    </w:p>
    <w:sectPr w:rsidR="006A7154" w:rsidRPr="00AC066F" w:rsidSect="006634F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517A5" w14:textId="77777777" w:rsidR="00B16ADA" w:rsidRDefault="00B16ADA" w:rsidP="00184C91">
      <w:r>
        <w:separator/>
      </w:r>
    </w:p>
  </w:endnote>
  <w:endnote w:type="continuationSeparator" w:id="0">
    <w:p w14:paraId="682E5E71" w14:textId="77777777" w:rsidR="00B16ADA" w:rsidRDefault="00B16ADA" w:rsidP="0018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6260"/>
      <w:docPartObj>
        <w:docPartGallery w:val="Page Numbers (Bottom of Page)"/>
        <w:docPartUnique/>
      </w:docPartObj>
    </w:sdtPr>
    <w:sdtEndPr/>
    <w:sdtContent>
      <w:p w14:paraId="0088FD8A" w14:textId="66A558E0" w:rsidR="00B96AD1" w:rsidRDefault="008A1C61">
        <w:pPr>
          <w:pStyle w:val="aa"/>
          <w:jc w:val="center"/>
        </w:pPr>
        <w:r>
          <w:fldChar w:fldCharType="begin"/>
        </w:r>
        <w:r w:rsidR="00315941">
          <w:instrText xml:space="preserve"> PAGE   \* MERGEFORMAT </w:instrText>
        </w:r>
        <w:r>
          <w:fldChar w:fldCharType="separate"/>
        </w:r>
        <w:r w:rsidR="00A10FB7" w:rsidRPr="00A10FB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22734AFC" w14:textId="77777777" w:rsidR="00B96AD1" w:rsidRDefault="00B96AD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80CC0" w14:textId="77777777" w:rsidR="00B16ADA" w:rsidRDefault="00B16ADA" w:rsidP="00184C91">
      <w:r>
        <w:separator/>
      </w:r>
    </w:p>
  </w:footnote>
  <w:footnote w:type="continuationSeparator" w:id="0">
    <w:p w14:paraId="2ED956D0" w14:textId="77777777" w:rsidR="00B16ADA" w:rsidRDefault="00B16ADA" w:rsidP="0018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B27"/>
    <w:multiLevelType w:val="hybridMultilevel"/>
    <w:tmpl w:val="A3E8A1B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456A9A"/>
    <w:multiLevelType w:val="hybridMultilevel"/>
    <w:tmpl w:val="EDA6A15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5D1F8F"/>
    <w:multiLevelType w:val="hybridMultilevel"/>
    <w:tmpl w:val="B25E311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E84AD9"/>
    <w:multiLevelType w:val="hybridMultilevel"/>
    <w:tmpl w:val="6A9EC88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E70C1F"/>
    <w:multiLevelType w:val="hybridMultilevel"/>
    <w:tmpl w:val="513A7414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CD5C5C"/>
    <w:multiLevelType w:val="hybridMultilevel"/>
    <w:tmpl w:val="FC4CBB34"/>
    <w:lvl w:ilvl="0" w:tplc="FB4C180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A171B8"/>
    <w:multiLevelType w:val="hybridMultilevel"/>
    <w:tmpl w:val="C0BEE0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052AA2"/>
    <w:multiLevelType w:val="hybridMultilevel"/>
    <w:tmpl w:val="90EE9D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FA07C28"/>
    <w:multiLevelType w:val="hybridMultilevel"/>
    <w:tmpl w:val="E01C1E2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753A6B"/>
    <w:multiLevelType w:val="hybridMultilevel"/>
    <w:tmpl w:val="BADAD1D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8D0832"/>
    <w:multiLevelType w:val="hybridMultilevel"/>
    <w:tmpl w:val="65BC32F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E93680E4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5084BC3"/>
    <w:multiLevelType w:val="hybridMultilevel"/>
    <w:tmpl w:val="9B54744A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347BE0"/>
    <w:multiLevelType w:val="hybridMultilevel"/>
    <w:tmpl w:val="BC407990"/>
    <w:lvl w:ilvl="0" w:tplc="FB4C180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D12343A"/>
    <w:multiLevelType w:val="hybridMultilevel"/>
    <w:tmpl w:val="BF12940A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B7D885D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F580744"/>
    <w:multiLevelType w:val="hybridMultilevel"/>
    <w:tmpl w:val="C6F439FC"/>
    <w:lvl w:ilvl="0" w:tplc="FB4C180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EC05B1"/>
    <w:multiLevelType w:val="hybridMultilevel"/>
    <w:tmpl w:val="204EA2F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6E2B81"/>
    <w:multiLevelType w:val="hybridMultilevel"/>
    <w:tmpl w:val="497EC55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BD3549"/>
    <w:multiLevelType w:val="hybridMultilevel"/>
    <w:tmpl w:val="0268C95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EC72DC"/>
    <w:multiLevelType w:val="hybridMultilevel"/>
    <w:tmpl w:val="71EE2CF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7829E4"/>
    <w:multiLevelType w:val="hybridMultilevel"/>
    <w:tmpl w:val="B36848B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CF7E91"/>
    <w:multiLevelType w:val="hybridMultilevel"/>
    <w:tmpl w:val="519C50A4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282840"/>
    <w:multiLevelType w:val="hybridMultilevel"/>
    <w:tmpl w:val="D318B904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74A7C27"/>
    <w:multiLevelType w:val="hybridMultilevel"/>
    <w:tmpl w:val="592688EA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BB02616"/>
    <w:multiLevelType w:val="hybridMultilevel"/>
    <w:tmpl w:val="90E40994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CA43DE8"/>
    <w:multiLevelType w:val="hybridMultilevel"/>
    <w:tmpl w:val="390E502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E1633E5"/>
    <w:multiLevelType w:val="hybridMultilevel"/>
    <w:tmpl w:val="11A2DB4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1567980"/>
    <w:multiLevelType w:val="hybridMultilevel"/>
    <w:tmpl w:val="F10AAE7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C6535F2"/>
    <w:multiLevelType w:val="hybridMultilevel"/>
    <w:tmpl w:val="48BE061C"/>
    <w:lvl w:ilvl="0" w:tplc="FB4C180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C7C0E57"/>
    <w:multiLevelType w:val="hybridMultilevel"/>
    <w:tmpl w:val="6D74673A"/>
    <w:lvl w:ilvl="0" w:tplc="FB4C180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ED953EB"/>
    <w:multiLevelType w:val="hybridMultilevel"/>
    <w:tmpl w:val="6C741EB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3C0BB6"/>
    <w:multiLevelType w:val="hybridMultilevel"/>
    <w:tmpl w:val="EC20453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6C07144"/>
    <w:multiLevelType w:val="hybridMultilevel"/>
    <w:tmpl w:val="02361DE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6D80AA9"/>
    <w:multiLevelType w:val="hybridMultilevel"/>
    <w:tmpl w:val="F2D8DD76"/>
    <w:lvl w:ilvl="0" w:tplc="FB4C180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A8B7C7E"/>
    <w:multiLevelType w:val="hybridMultilevel"/>
    <w:tmpl w:val="4218E39A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176E1CFE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D2364D"/>
    <w:multiLevelType w:val="hybridMultilevel"/>
    <w:tmpl w:val="EC7AB65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33"/>
  </w:num>
  <w:num w:numId="3">
    <w:abstractNumId w:val="1"/>
  </w:num>
  <w:num w:numId="4">
    <w:abstractNumId w:val="34"/>
  </w:num>
  <w:num w:numId="5">
    <w:abstractNumId w:val="20"/>
  </w:num>
  <w:num w:numId="6">
    <w:abstractNumId w:val="21"/>
  </w:num>
  <w:num w:numId="7">
    <w:abstractNumId w:val="9"/>
  </w:num>
  <w:num w:numId="8">
    <w:abstractNumId w:val="16"/>
  </w:num>
  <w:num w:numId="9">
    <w:abstractNumId w:val="3"/>
  </w:num>
  <w:num w:numId="10">
    <w:abstractNumId w:val="17"/>
  </w:num>
  <w:num w:numId="11">
    <w:abstractNumId w:val="8"/>
  </w:num>
  <w:num w:numId="12">
    <w:abstractNumId w:val="29"/>
  </w:num>
  <w:num w:numId="13">
    <w:abstractNumId w:val="26"/>
  </w:num>
  <w:num w:numId="14">
    <w:abstractNumId w:val="18"/>
  </w:num>
  <w:num w:numId="15">
    <w:abstractNumId w:val="11"/>
  </w:num>
  <w:num w:numId="16">
    <w:abstractNumId w:val="23"/>
  </w:num>
  <w:num w:numId="17">
    <w:abstractNumId w:val="30"/>
  </w:num>
  <w:num w:numId="18">
    <w:abstractNumId w:val="31"/>
  </w:num>
  <w:num w:numId="19">
    <w:abstractNumId w:val="15"/>
  </w:num>
  <w:num w:numId="20">
    <w:abstractNumId w:val="4"/>
  </w:num>
  <w:num w:numId="21">
    <w:abstractNumId w:val="22"/>
  </w:num>
  <w:num w:numId="22">
    <w:abstractNumId w:val="2"/>
  </w:num>
  <w:num w:numId="23">
    <w:abstractNumId w:val="19"/>
  </w:num>
  <w:num w:numId="24">
    <w:abstractNumId w:val="0"/>
  </w:num>
  <w:num w:numId="25">
    <w:abstractNumId w:val="25"/>
  </w:num>
  <w:num w:numId="26">
    <w:abstractNumId w:val="10"/>
  </w:num>
  <w:num w:numId="27">
    <w:abstractNumId w:val="24"/>
  </w:num>
  <w:num w:numId="28">
    <w:abstractNumId w:val="6"/>
  </w:num>
  <w:num w:numId="29">
    <w:abstractNumId w:val="7"/>
  </w:num>
  <w:num w:numId="30">
    <w:abstractNumId w:val="32"/>
  </w:num>
  <w:num w:numId="31">
    <w:abstractNumId w:val="12"/>
  </w:num>
  <w:num w:numId="32">
    <w:abstractNumId w:val="27"/>
  </w:num>
  <w:num w:numId="33">
    <w:abstractNumId w:val="28"/>
  </w:num>
  <w:num w:numId="34">
    <w:abstractNumId w:val="14"/>
  </w:num>
  <w:num w:numId="35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5E"/>
    <w:rsid w:val="000053C3"/>
    <w:rsid w:val="000104FC"/>
    <w:rsid w:val="00015C74"/>
    <w:rsid w:val="000203D8"/>
    <w:rsid w:val="00026087"/>
    <w:rsid w:val="000271D2"/>
    <w:rsid w:val="00027D27"/>
    <w:rsid w:val="0003101F"/>
    <w:rsid w:val="00036BB9"/>
    <w:rsid w:val="00043233"/>
    <w:rsid w:val="00054382"/>
    <w:rsid w:val="00062519"/>
    <w:rsid w:val="0006589B"/>
    <w:rsid w:val="00065F84"/>
    <w:rsid w:val="00071891"/>
    <w:rsid w:val="0009008D"/>
    <w:rsid w:val="00097BA1"/>
    <w:rsid w:val="000A4DEC"/>
    <w:rsid w:val="000A56D3"/>
    <w:rsid w:val="000A5B1F"/>
    <w:rsid w:val="000A60B4"/>
    <w:rsid w:val="000B02D4"/>
    <w:rsid w:val="000B4A8C"/>
    <w:rsid w:val="000E1257"/>
    <w:rsid w:val="000E51BA"/>
    <w:rsid w:val="000E6FBE"/>
    <w:rsid w:val="000F547C"/>
    <w:rsid w:val="000F57B3"/>
    <w:rsid w:val="000F7495"/>
    <w:rsid w:val="0010329B"/>
    <w:rsid w:val="00107E04"/>
    <w:rsid w:val="00110DA3"/>
    <w:rsid w:val="0011338B"/>
    <w:rsid w:val="0013286C"/>
    <w:rsid w:val="00142CE7"/>
    <w:rsid w:val="00152925"/>
    <w:rsid w:val="00153D57"/>
    <w:rsid w:val="00154B6A"/>
    <w:rsid w:val="001561D5"/>
    <w:rsid w:val="00164A8D"/>
    <w:rsid w:val="00174817"/>
    <w:rsid w:val="00176FF2"/>
    <w:rsid w:val="0018195F"/>
    <w:rsid w:val="00184C91"/>
    <w:rsid w:val="001860F6"/>
    <w:rsid w:val="00192C13"/>
    <w:rsid w:val="00197ECD"/>
    <w:rsid w:val="001A0090"/>
    <w:rsid w:val="001A1A4E"/>
    <w:rsid w:val="001B026B"/>
    <w:rsid w:val="001B2E89"/>
    <w:rsid w:val="001B7F90"/>
    <w:rsid w:val="001C4004"/>
    <w:rsid w:val="001C6D1C"/>
    <w:rsid w:val="001D17AC"/>
    <w:rsid w:val="001D314A"/>
    <w:rsid w:val="001D4E6D"/>
    <w:rsid w:val="001D5C15"/>
    <w:rsid w:val="001E2C05"/>
    <w:rsid w:val="001E44C4"/>
    <w:rsid w:val="001F5158"/>
    <w:rsid w:val="00205A40"/>
    <w:rsid w:val="002060DC"/>
    <w:rsid w:val="0021615B"/>
    <w:rsid w:val="00224421"/>
    <w:rsid w:val="0023392E"/>
    <w:rsid w:val="002355C6"/>
    <w:rsid w:val="00236FB4"/>
    <w:rsid w:val="002417B2"/>
    <w:rsid w:val="002457AC"/>
    <w:rsid w:val="00267FD5"/>
    <w:rsid w:val="00273123"/>
    <w:rsid w:val="00277984"/>
    <w:rsid w:val="002814A4"/>
    <w:rsid w:val="00283032"/>
    <w:rsid w:val="00285058"/>
    <w:rsid w:val="00291BD1"/>
    <w:rsid w:val="002948D4"/>
    <w:rsid w:val="002A7023"/>
    <w:rsid w:val="002B0DAA"/>
    <w:rsid w:val="002B30AD"/>
    <w:rsid w:val="002B3708"/>
    <w:rsid w:val="002C49E5"/>
    <w:rsid w:val="002F058C"/>
    <w:rsid w:val="002F3ADF"/>
    <w:rsid w:val="002F3B87"/>
    <w:rsid w:val="002F70A4"/>
    <w:rsid w:val="00306557"/>
    <w:rsid w:val="003078DC"/>
    <w:rsid w:val="003146A8"/>
    <w:rsid w:val="00315941"/>
    <w:rsid w:val="00324260"/>
    <w:rsid w:val="00325CFC"/>
    <w:rsid w:val="00331DA8"/>
    <w:rsid w:val="0033272B"/>
    <w:rsid w:val="00335422"/>
    <w:rsid w:val="00337379"/>
    <w:rsid w:val="0034249C"/>
    <w:rsid w:val="0035056E"/>
    <w:rsid w:val="00352F0B"/>
    <w:rsid w:val="00361A4F"/>
    <w:rsid w:val="003660F6"/>
    <w:rsid w:val="003665F0"/>
    <w:rsid w:val="00371BF0"/>
    <w:rsid w:val="00376859"/>
    <w:rsid w:val="003839E1"/>
    <w:rsid w:val="0038766A"/>
    <w:rsid w:val="00392353"/>
    <w:rsid w:val="00393982"/>
    <w:rsid w:val="003970E8"/>
    <w:rsid w:val="003A617E"/>
    <w:rsid w:val="003B01C5"/>
    <w:rsid w:val="003B5EA1"/>
    <w:rsid w:val="003B74BC"/>
    <w:rsid w:val="003C48B5"/>
    <w:rsid w:val="003D1299"/>
    <w:rsid w:val="003D2AC3"/>
    <w:rsid w:val="003E2A01"/>
    <w:rsid w:val="003E54F9"/>
    <w:rsid w:val="003E7152"/>
    <w:rsid w:val="003F796C"/>
    <w:rsid w:val="004017D0"/>
    <w:rsid w:val="00404D3E"/>
    <w:rsid w:val="0040732B"/>
    <w:rsid w:val="00407BAB"/>
    <w:rsid w:val="00420561"/>
    <w:rsid w:val="0043738E"/>
    <w:rsid w:val="004374D3"/>
    <w:rsid w:val="00440E62"/>
    <w:rsid w:val="004412A7"/>
    <w:rsid w:val="00442589"/>
    <w:rsid w:val="0044472B"/>
    <w:rsid w:val="00444D6E"/>
    <w:rsid w:val="00453A4D"/>
    <w:rsid w:val="00455078"/>
    <w:rsid w:val="00490CB8"/>
    <w:rsid w:val="00496168"/>
    <w:rsid w:val="004B1A2F"/>
    <w:rsid w:val="004B4B3D"/>
    <w:rsid w:val="004C5E89"/>
    <w:rsid w:val="004C6350"/>
    <w:rsid w:val="004C688C"/>
    <w:rsid w:val="004D09D8"/>
    <w:rsid w:val="004D6E01"/>
    <w:rsid w:val="004D7C1F"/>
    <w:rsid w:val="004E3505"/>
    <w:rsid w:val="004E666D"/>
    <w:rsid w:val="004F1D3F"/>
    <w:rsid w:val="004F4693"/>
    <w:rsid w:val="004F49F7"/>
    <w:rsid w:val="004F73CB"/>
    <w:rsid w:val="004F7E0E"/>
    <w:rsid w:val="005012BA"/>
    <w:rsid w:val="00504281"/>
    <w:rsid w:val="0051462B"/>
    <w:rsid w:val="00517E84"/>
    <w:rsid w:val="0052121A"/>
    <w:rsid w:val="005252C7"/>
    <w:rsid w:val="00530AFD"/>
    <w:rsid w:val="005316C9"/>
    <w:rsid w:val="0053215E"/>
    <w:rsid w:val="00544E4D"/>
    <w:rsid w:val="00545791"/>
    <w:rsid w:val="005575AE"/>
    <w:rsid w:val="005758F9"/>
    <w:rsid w:val="005861D9"/>
    <w:rsid w:val="005903C9"/>
    <w:rsid w:val="005A241A"/>
    <w:rsid w:val="005A4657"/>
    <w:rsid w:val="005B2BDF"/>
    <w:rsid w:val="005B554A"/>
    <w:rsid w:val="005C13F2"/>
    <w:rsid w:val="005C2E36"/>
    <w:rsid w:val="005D73CA"/>
    <w:rsid w:val="005E3C21"/>
    <w:rsid w:val="005F0538"/>
    <w:rsid w:val="006030EA"/>
    <w:rsid w:val="00606C4A"/>
    <w:rsid w:val="00611CD0"/>
    <w:rsid w:val="00612E72"/>
    <w:rsid w:val="00613FA0"/>
    <w:rsid w:val="00633893"/>
    <w:rsid w:val="006419D6"/>
    <w:rsid w:val="00655F02"/>
    <w:rsid w:val="006634FC"/>
    <w:rsid w:val="0067365F"/>
    <w:rsid w:val="00680DC3"/>
    <w:rsid w:val="00693947"/>
    <w:rsid w:val="00696E3A"/>
    <w:rsid w:val="00697E49"/>
    <w:rsid w:val="006A4F9A"/>
    <w:rsid w:val="006A7154"/>
    <w:rsid w:val="006B285D"/>
    <w:rsid w:val="006B3B21"/>
    <w:rsid w:val="006B707C"/>
    <w:rsid w:val="006C799C"/>
    <w:rsid w:val="006D22AE"/>
    <w:rsid w:val="006D5D79"/>
    <w:rsid w:val="006D6E74"/>
    <w:rsid w:val="006E1072"/>
    <w:rsid w:val="006E2C6E"/>
    <w:rsid w:val="006E3334"/>
    <w:rsid w:val="006E741C"/>
    <w:rsid w:val="006F66F6"/>
    <w:rsid w:val="00701FCF"/>
    <w:rsid w:val="00710487"/>
    <w:rsid w:val="00710752"/>
    <w:rsid w:val="00713924"/>
    <w:rsid w:val="00714096"/>
    <w:rsid w:val="007175F4"/>
    <w:rsid w:val="00717E70"/>
    <w:rsid w:val="00724BA3"/>
    <w:rsid w:val="00727102"/>
    <w:rsid w:val="007315F1"/>
    <w:rsid w:val="00735B8E"/>
    <w:rsid w:val="007430E2"/>
    <w:rsid w:val="0074437A"/>
    <w:rsid w:val="007515B4"/>
    <w:rsid w:val="00752368"/>
    <w:rsid w:val="007574A6"/>
    <w:rsid w:val="00757E25"/>
    <w:rsid w:val="0076680E"/>
    <w:rsid w:val="007911D9"/>
    <w:rsid w:val="0079355E"/>
    <w:rsid w:val="007938EB"/>
    <w:rsid w:val="00795FD9"/>
    <w:rsid w:val="007B45A8"/>
    <w:rsid w:val="007C09D7"/>
    <w:rsid w:val="007C1310"/>
    <w:rsid w:val="007D6460"/>
    <w:rsid w:val="007E26AF"/>
    <w:rsid w:val="007E44AB"/>
    <w:rsid w:val="007E5874"/>
    <w:rsid w:val="007E58D2"/>
    <w:rsid w:val="007F3F2E"/>
    <w:rsid w:val="00800408"/>
    <w:rsid w:val="0080208F"/>
    <w:rsid w:val="008041F2"/>
    <w:rsid w:val="00810683"/>
    <w:rsid w:val="00815EC0"/>
    <w:rsid w:val="00817498"/>
    <w:rsid w:val="008241E5"/>
    <w:rsid w:val="008266E8"/>
    <w:rsid w:val="0082679F"/>
    <w:rsid w:val="00827027"/>
    <w:rsid w:val="00831E2A"/>
    <w:rsid w:val="00834AE6"/>
    <w:rsid w:val="008442D2"/>
    <w:rsid w:val="008538DC"/>
    <w:rsid w:val="008557A0"/>
    <w:rsid w:val="008614AC"/>
    <w:rsid w:val="008630F8"/>
    <w:rsid w:val="008717D9"/>
    <w:rsid w:val="008727F7"/>
    <w:rsid w:val="008843A8"/>
    <w:rsid w:val="00887BFC"/>
    <w:rsid w:val="00896A11"/>
    <w:rsid w:val="008A1C61"/>
    <w:rsid w:val="008A470E"/>
    <w:rsid w:val="008B3B64"/>
    <w:rsid w:val="008C6484"/>
    <w:rsid w:val="008D1C22"/>
    <w:rsid w:val="008D4D42"/>
    <w:rsid w:val="008E4A69"/>
    <w:rsid w:val="008F12D9"/>
    <w:rsid w:val="008F1EB4"/>
    <w:rsid w:val="00900512"/>
    <w:rsid w:val="00911DC0"/>
    <w:rsid w:val="009212D8"/>
    <w:rsid w:val="00924B4A"/>
    <w:rsid w:val="00930EEB"/>
    <w:rsid w:val="00934976"/>
    <w:rsid w:val="0094686B"/>
    <w:rsid w:val="00946D1F"/>
    <w:rsid w:val="00952032"/>
    <w:rsid w:val="00952D2D"/>
    <w:rsid w:val="00960BB7"/>
    <w:rsid w:val="0098274D"/>
    <w:rsid w:val="009828C9"/>
    <w:rsid w:val="0099300B"/>
    <w:rsid w:val="009A3B59"/>
    <w:rsid w:val="009A445E"/>
    <w:rsid w:val="009A5136"/>
    <w:rsid w:val="009B4F8E"/>
    <w:rsid w:val="009C6E0F"/>
    <w:rsid w:val="009C7097"/>
    <w:rsid w:val="009D3BBD"/>
    <w:rsid w:val="009D45D8"/>
    <w:rsid w:val="009D5AE4"/>
    <w:rsid w:val="009E4C66"/>
    <w:rsid w:val="009E5B9B"/>
    <w:rsid w:val="00A03E26"/>
    <w:rsid w:val="00A10FB7"/>
    <w:rsid w:val="00A12595"/>
    <w:rsid w:val="00A12E96"/>
    <w:rsid w:val="00A14253"/>
    <w:rsid w:val="00A30D42"/>
    <w:rsid w:val="00A32825"/>
    <w:rsid w:val="00A331B7"/>
    <w:rsid w:val="00A4735F"/>
    <w:rsid w:val="00A477AF"/>
    <w:rsid w:val="00A54029"/>
    <w:rsid w:val="00A546C7"/>
    <w:rsid w:val="00A67F74"/>
    <w:rsid w:val="00A77A42"/>
    <w:rsid w:val="00A80EC3"/>
    <w:rsid w:val="00A81291"/>
    <w:rsid w:val="00A82660"/>
    <w:rsid w:val="00A93DC0"/>
    <w:rsid w:val="00A9556A"/>
    <w:rsid w:val="00A9577E"/>
    <w:rsid w:val="00AA1A1E"/>
    <w:rsid w:val="00AA4527"/>
    <w:rsid w:val="00AA7671"/>
    <w:rsid w:val="00AB1AFC"/>
    <w:rsid w:val="00AB200D"/>
    <w:rsid w:val="00AB5D1D"/>
    <w:rsid w:val="00AB7F75"/>
    <w:rsid w:val="00AC066F"/>
    <w:rsid w:val="00AC1CB4"/>
    <w:rsid w:val="00AC3C60"/>
    <w:rsid w:val="00AC4E94"/>
    <w:rsid w:val="00AC797A"/>
    <w:rsid w:val="00AF059E"/>
    <w:rsid w:val="00AF3DE4"/>
    <w:rsid w:val="00AF6B5E"/>
    <w:rsid w:val="00B02451"/>
    <w:rsid w:val="00B03096"/>
    <w:rsid w:val="00B03EFB"/>
    <w:rsid w:val="00B07610"/>
    <w:rsid w:val="00B11BAC"/>
    <w:rsid w:val="00B1691E"/>
    <w:rsid w:val="00B16ADA"/>
    <w:rsid w:val="00B22BE6"/>
    <w:rsid w:val="00B27D9F"/>
    <w:rsid w:val="00B423C9"/>
    <w:rsid w:val="00B7154E"/>
    <w:rsid w:val="00B73E38"/>
    <w:rsid w:val="00B90F05"/>
    <w:rsid w:val="00B95297"/>
    <w:rsid w:val="00B96228"/>
    <w:rsid w:val="00B96AD1"/>
    <w:rsid w:val="00B97F7D"/>
    <w:rsid w:val="00BB2166"/>
    <w:rsid w:val="00BB52E6"/>
    <w:rsid w:val="00BC7582"/>
    <w:rsid w:val="00BD32D5"/>
    <w:rsid w:val="00BD3B46"/>
    <w:rsid w:val="00BD3C38"/>
    <w:rsid w:val="00BD76BF"/>
    <w:rsid w:val="00BE2AF2"/>
    <w:rsid w:val="00BE3D23"/>
    <w:rsid w:val="00BF5C97"/>
    <w:rsid w:val="00BF6D19"/>
    <w:rsid w:val="00C012F8"/>
    <w:rsid w:val="00C1091F"/>
    <w:rsid w:val="00C1296E"/>
    <w:rsid w:val="00C12C58"/>
    <w:rsid w:val="00C14E78"/>
    <w:rsid w:val="00C20ECD"/>
    <w:rsid w:val="00C2174E"/>
    <w:rsid w:val="00C26626"/>
    <w:rsid w:val="00C47C5F"/>
    <w:rsid w:val="00C57C4D"/>
    <w:rsid w:val="00C818DB"/>
    <w:rsid w:val="00C8371D"/>
    <w:rsid w:val="00C933CA"/>
    <w:rsid w:val="00CA273E"/>
    <w:rsid w:val="00CA4C15"/>
    <w:rsid w:val="00CA56F7"/>
    <w:rsid w:val="00CC0590"/>
    <w:rsid w:val="00CC1BD5"/>
    <w:rsid w:val="00CC1E39"/>
    <w:rsid w:val="00CC4428"/>
    <w:rsid w:val="00CC51C8"/>
    <w:rsid w:val="00CD6C31"/>
    <w:rsid w:val="00CE2E1B"/>
    <w:rsid w:val="00CF4FEB"/>
    <w:rsid w:val="00D06188"/>
    <w:rsid w:val="00D13EE5"/>
    <w:rsid w:val="00D1548C"/>
    <w:rsid w:val="00D22775"/>
    <w:rsid w:val="00D235F0"/>
    <w:rsid w:val="00D2408E"/>
    <w:rsid w:val="00D256CE"/>
    <w:rsid w:val="00D259DB"/>
    <w:rsid w:val="00D270CD"/>
    <w:rsid w:val="00D33300"/>
    <w:rsid w:val="00D54D06"/>
    <w:rsid w:val="00D64D88"/>
    <w:rsid w:val="00D66EE9"/>
    <w:rsid w:val="00D67D3E"/>
    <w:rsid w:val="00D70DFE"/>
    <w:rsid w:val="00D73B5A"/>
    <w:rsid w:val="00D80084"/>
    <w:rsid w:val="00D86D21"/>
    <w:rsid w:val="00D87CE8"/>
    <w:rsid w:val="00D94CE5"/>
    <w:rsid w:val="00D96FB8"/>
    <w:rsid w:val="00D9785D"/>
    <w:rsid w:val="00DA0F6E"/>
    <w:rsid w:val="00DA6A15"/>
    <w:rsid w:val="00DB29A0"/>
    <w:rsid w:val="00DB3F95"/>
    <w:rsid w:val="00DB4086"/>
    <w:rsid w:val="00DC78EF"/>
    <w:rsid w:val="00DD10C5"/>
    <w:rsid w:val="00DD3FA2"/>
    <w:rsid w:val="00DD5B2A"/>
    <w:rsid w:val="00DD6662"/>
    <w:rsid w:val="00DE3C5F"/>
    <w:rsid w:val="00DF4214"/>
    <w:rsid w:val="00E004F8"/>
    <w:rsid w:val="00E074B7"/>
    <w:rsid w:val="00E137E9"/>
    <w:rsid w:val="00E161BF"/>
    <w:rsid w:val="00E27D4C"/>
    <w:rsid w:val="00E3003A"/>
    <w:rsid w:val="00E3498B"/>
    <w:rsid w:val="00E36B39"/>
    <w:rsid w:val="00E374C3"/>
    <w:rsid w:val="00E408C8"/>
    <w:rsid w:val="00E544A2"/>
    <w:rsid w:val="00E54711"/>
    <w:rsid w:val="00E547DD"/>
    <w:rsid w:val="00E82F4A"/>
    <w:rsid w:val="00E9401A"/>
    <w:rsid w:val="00EA19B1"/>
    <w:rsid w:val="00EA2C99"/>
    <w:rsid w:val="00EA56C4"/>
    <w:rsid w:val="00EA69DF"/>
    <w:rsid w:val="00EA7151"/>
    <w:rsid w:val="00EB55E8"/>
    <w:rsid w:val="00EB6ACC"/>
    <w:rsid w:val="00EC2D6C"/>
    <w:rsid w:val="00EC5C26"/>
    <w:rsid w:val="00EC6479"/>
    <w:rsid w:val="00ED4B62"/>
    <w:rsid w:val="00EF1B91"/>
    <w:rsid w:val="00EF2457"/>
    <w:rsid w:val="00F00AA5"/>
    <w:rsid w:val="00F113B3"/>
    <w:rsid w:val="00F16494"/>
    <w:rsid w:val="00F2443C"/>
    <w:rsid w:val="00F24671"/>
    <w:rsid w:val="00F3376F"/>
    <w:rsid w:val="00F44DDB"/>
    <w:rsid w:val="00F6185C"/>
    <w:rsid w:val="00F67F57"/>
    <w:rsid w:val="00F74818"/>
    <w:rsid w:val="00F75529"/>
    <w:rsid w:val="00F807A7"/>
    <w:rsid w:val="00F81877"/>
    <w:rsid w:val="00F828F6"/>
    <w:rsid w:val="00F858A8"/>
    <w:rsid w:val="00F90DB6"/>
    <w:rsid w:val="00F9236B"/>
    <w:rsid w:val="00F93539"/>
    <w:rsid w:val="00F93D8E"/>
    <w:rsid w:val="00F96445"/>
    <w:rsid w:val="00FA0AE9"/>
    <w:rsid w:val="00FA136E"/>
    <w:rsid w:val="00FA1B36"/>
    <w:rsid w:val="00FA1B8F"/>
    <w:rsid w:val="00FA348D"/>
    <w:rsid w:val="00FA50A9"/>
    <w:rsid w:val="00FA6D15"/>
    <w:rsid w:val="00FB1E90"/>
    <w:rsid w:val="00FB3C6E"/>
    <w:rsid w:val="00FB568C"/>
    <w:rsid w:val="00FD4B58"/>
    <w:rsid w:val="00FD5E1E"/>
    <w:rsid w:val="00FE0A1F"/>
    <w:rsid w:val="00FE122B"/>
    <w:rsid w:val="00FE2F75"/>
    <w:rsid w:val="00FE53F6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5543F30"/>
  <w15:docId w15:val="{D6DC7F45-281A-48A0-8672-BAB49B9A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5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1877"/>
    <w:pPr>
      <w:ind w:firstLineChars="200" w:firstLine="420"/>
    </w:pPr>
  </w:style>
  <w:style w:type="paragraph" w:styleId="a4">
    <w:name w:val="Body Text Indent"/>
    <w:basedOn w:val="a"/>
    <w:link w:val="a5"/>
    <w:rsid w:val="0098274D"/>
    <w:pPr>
      <w:ind w:firstLine="425"/>
    </w:pPr>
    <w:rPr>
      <w:rFonts w:ascii="宋体" w:hAnsi="Times New Roman"/>
      <w:szCs w:val="20"/>
    </w:rPr>
  </w:style>
  <w:style w:type="paragraph" w:styleId="a6">
    <w:name w:val="Plain Text"/>
    <w:basedOn w:val="a"/>
    <w:link w:val="a7"/>
    <w:rsid w:val="0098274D"/>
    <w:rPr>
      <w:rFonts w:ascii="宋体" w:hAnsi="Courier New"/>
      <w:szCs w:val="20"/>
    </w:rPr>
  </w:style>
  <w:style w:type="paragraph" w:styleId="a8">
    <w:name w:val="header"/>
    <w:basedOn w:val="a"/>
    <w:link w:val="a9"/>
    <w:rsid w:val="00184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184C91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184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84C91"/>
    <w:rPr>
      <w:rFonts w:ascii="Calibri" w:hAnsi="Calibri"/>
      <w:kern w:val="2"/>
      <w:sz w:val="18"/>
      <w:szCs w:val="18"/>
    </w:rPr>
  </w:style>
  <w:style w:type="character" w:customStyle="1" w:styleId="a5">
    <w:name w:val="正文文本缩进 字符"/>
    <w:basedOn w:val="a0"/>
    <w:link w:val="a4"/>
    <w:rsid w:val="00C12C58"/>
    <w:rPr>
      <w:rFonts w:ascii="宋体"/>
      <w:kern w:val="2"/>
      <w:sz w:val="21"/>
    </w:rPr>
  </w:style>
  <w:style w:type="character" w:customStyle="1" w:styleId="a7">
    <w:name w:val="纯文本 字符"/>
    <w:basedOn w:val="a0"/>
    <w:link w:val="a6"/>
    <w:rsid w:val="00C12C58"/>
    <w:rPr>
      <w:rFonts w:ascii="宋体" w:hAnsi="Courier New"/>
      <w:kern w:val="2"/>
      <w:sz w:val="21"/>
    </w:rPr>
  </w:style>
  <w:style w:type="paragraph" w:styleId="ac">
    <w:name w:val="Balloon Text"/>
    <w:basedOn w:val="a"/>
    <w:link w:val="ad"/>
    <w:semiHidden/>
    <w:unhideWhenUsed/>
    <w:rsid w:val="001D314A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1D314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1914</Words>
  <Characters>66</Characters>
  <Application>Microsoft Office Word</Application>
  <DocSecurity>0</DocSecurity>
  <Lines>1</Lines>
  <Paragraphs>3</Paragraphs>
  <ScaleCrop>false</ScaleCrop>
  <Company>cufe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保险硕士专业学位研究生《专业基础课》自行命题考试大纲</dc:title>
  <dc:creator>lyp_z</dc:creator>
  <cp:lastModifiedBy>姚文可</cp:lastModifiedBy>
  <cp:revision>4</cp:revision>
  <cp:lastPrinted>2020-07-13T02:42:00Z</cp:lastPrinted>
  <dcterms:created xsi:type="dcterms:W3CDTF">2020-07-13T06:00:00Z</dcterms:created>
  <dcterms:modified xsi:type="dcterms:W3CDTF">2020-07-13T06:00:00Z</dcterms:modified>
</cp:coreProperties>
</file>