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177E8" w14:textId="77777777" w:rsidR="00FC4356" w:rsidRDefault="00FC4356" w:rsidP="00FC4356">
      <w:pPr>
        <w:pStyle w:val="a7"/>
        <w:spacing w:line="570" w:lineRule="atLeast"/>
        <w:jc w:val="center"/>
        <w:rPr>
          <w:rFonts w:cs="Arial"/>
          <w:color w:val="000000"/>
          <w:sz w:val="21"/>
          <w:szCs w:val="21"/>
        </w:rPr>
      </w:pPr>
      <w:r>
        <w:rPr>
          <w:rFonts w:ascii="方正小标宋简体" w:eastAsia="方正小标宋简体" w:cs="Arial" w:hint="eastAsia"/>
          <w:color w:val="000000"/>
          <w:sz w:val="44"/>
          <w:szCs w:val="44"/>
        </w:rPr>
        <w:t>华侨大学研究生奖学金实施办法（试行）</w:t>
      </w:r>
    </w:p>
    <w:p w14:paraId="0591FA18" w14:textId="77777777" w:rsidR="00FC4356" w:rsidRDefault="00FC4356" w:rsidP="00FC4356">
      <w:pPr>
        <w:pStyle w:val="a7"/>
        <w:spacing w:line="525" w:lineRule="atLeast"/>
        <w:jc w:val="center"/>
        <w:rPr>
          <w:rFonts w:cs="Arial" w:hint="eastAsia"/>
          <w:color w:val="000000"/>
          <w:sz w:val="21"/>
          <w:szCs w:val="21"/>
        </w:rPr>
      </w:pPr>
      <w:r>
        <w:rPr>
          <w:rFonts w:ascii="仿宋_gb2312" w:eastAsia="仿宋_gb2312" w:cs="Arial" w:hint="eastAsia"/>
          <w:color w:val="000000"/>
          <w:sz w:val="32"/>
          <w:szCs w:val="32"/>
        </w:rPr>
        <w:t>（华大</w:t>
      </w:r>
      <w:proofErr w:type="gramStart"/>
      <w:r>
        <w:rPr>
          <w:rFonts w:ascii="仿宋_gb2312" w:eastAsia="仿宋_gb2312" w:cs="Arial" w:hint="eastAsia"/>
          <w:color w:val="000000"/>
          <w:sz w:val="32"/>
          <w:szCs w:val="32"/>
        </w:rPr>
        <w:t>研</w:t>
      </w:r>
      <w:proofErr w:type="gramEnd"/>
      <w:r>
        <w:rPr>
          <w:rFonts w:ascii="仿宋_gb2312" w:eastAsia="仿宋_gb2312" w:cs="Arial" w:hint="eastAsia"/>
          <w:color w:val="000000"/>
          <w:sz w:val="32"/>
          <w:szCs w:val="32"/>
        </w:rPr>
        <w:t>〔2017〕20号 2017年7月5日印发）</w:t>
      </w:r>
    </w:p>
    <w:p w14:paraId="4C34131B" w14:textId="77777777" w:rsidR="00FC4356" w:rsidRDefault="00FC4356" w:rsidP="00FC4356">
      <w:pPr>
        <w:pStyle w:val="a7"/>
        <w:spacing w:line="570" w:lineRule="atLeast"/>
        <w:jc w:val="center"/>
        <w:rPr>
          <w:rFonts w:cs="Arial" w:hint="eastAsia"/>
          <w:color w:val="000000"/>
          <w:sz w:val="21"/>
          <w:szCs w:val="21"/>
        </w:rPr>
      </w:pPr>
      <w:r>
        <w:rPr>
          <w:rFonts w:cs="Arial" w:hint="eastAsia"/>
          <w:color w:val="000000"/>
          <w:sz w:val="21"/>
          <w:szCs w:val="21"/>
        </w:rPr>
        <w:t> </w:t>
      </w:r>
    </w:p>
    <w:p w14:paraId="04CDC8FB" w14:textId="77777777" w:rsidR="00FC4356" w:rsidRDefault="00FC4356" w:rsidP="00FC4356">
      <w:pPr>
        <w:pStyle w:val="a7"/>
        <w:spacing w:line="570" w:lineRule="atLeast"/>
        <w:jc w:val="center"/>
        <w:rPr>
          <w:rFonts w:cs="Arial" w:hint="eastAsia"/>
          <w:color w:val="000000"/>
          <w:sz w:val="21"/>
          <w:szCs w:val="21"/>
        </w:rPr>
      </w:pPr>
      <w:r>
        <w:rPr>
          <w:rFonts w:ascii="黑体" w:eastAsia="黑体" w:hAnsi="黑体" w:cs="Arial" w:hint="eastAsia"/>
          <w:color w:val="000000"/>
          <w:sz w:val="32"/>
          <w:szCs w:val="32"/>
        </w:rPr>
        <w:t>第一章 总则</w:t>
      </w:r>
    </w:p>
    <w:p w14:paraId="65A3F450" w14:textId="77777777" w:rsidR="00FC4356" w:rsidRDefault="00FC4356" w:rsidP="00FC4356">
      <w:pPr>
        <w:pStyle w:val="a7"/>
        <w:spacing w:line="405" w:lineRule="atLeast"/>
        <w:jc w:val="center"/>
        <w:rPr>
          <w:rFonts w:cs="Arial" w:hint="eastAsia"/>
          <w:color w:val="000000"/>
          <w:sz w:val="21"/>
          <w:szCs w:val="21"/>
        </w:rPr>
      </w:pPr>
      <w:r>
        <w:rPr>
          <w:rFonts w:cs="Arial" w:hint="eastAsia"/>
          <w:color w:val="000000"/>
          <w:sz w:val="21"/>
          <w:szCs w:val="21"/>
        </w:rPr>
        <w:t> </w:t>
      </w:r>
    </w:p>
    <w:p w14:paraId="5DE08491"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第一条</w:t>
      </w:r>
      <w:r>
        <w:rPr>
          <w:rFonts w:ascii="仿宋_gb2312" w:eastAsia="仿宋_gb2312" w:cs="Arial" w:hint="eastAsia"/>
          <w:color w:val="000000"/>
          <w:sz w:val="32"/>
          <w:szCs w:val="32"/>
        </w:rPr>
        <w:t xml:space="preserve"> 为鼓励我校研究生勤奋学习、刻苦钻研、全面发展，根据《普通高等学校学生管理规定》（中华人民共和国教育部令第41号）、《研究生国家奖学金管理暂行办法》（</w:t>
      </w:r>
      <w:proofErr w:type="gramStart"/>
      <w:r>
        <w:rPr>
          <w:rFonts w:ascii="仿宋_gb2312" w:eastAsia="仿宋_gb2312" w:cs="Arial" w:hint="eastAsia"/>
          <w:color w:val="000000"/>
          <w:sz w:val="32"/>
          <w:szCs w:val="32"/>
        </w:rPr>
        <w:t>财教〔2012〕</w:t>
      </w:r>
      <w:proofErr w:type="gramEnd"/>
      <w:r>
        <w:rPr>
          <w:rFonts w:ascii="仿宋_gb2312" w:eastAsia="仿宋_gb2312" w:cs="Arial" w:hint="eastAsia"/>
          <w:color w:val="000000"/>
          <w:sz w:val="32"/>
          <w:szCs w:val="32"/>
        </w:rPr>
        <w:t>342号）、《研究生学业奖学金管理暂行办法》（</w:t>
      </w:r>
      <w:proofErr w:type="gramStart"/>
      <w:r>
        <w:rPr>
          <w:rFonts w:ascii="仿宋_gb2312" w:eastAsia="仿宋_gb2312" w:cs="Arial" w:hint="eastAsia"/>
          <w:color w:val="000000"/>
          <w:sz w:val="32"/>
          <w:szCs w:val="32"/>
        </w:rPr>
        <w:t>财教〔2013〕</w:t>
      </w:r>
      <w:proofErr w:type="gramEnd"/>
      <w:r>
        <w:rPr>
          <w:rFonts w:ascii="仿宋_gb2312" w:eastAsia="仿宋_gb2312" w:cs="Arial" w:hint="eastAsia"/>
          <w:color w:val="000000"/>
          <w:sz w:val="32"/>
          <w:szCs w:val="32"/>
        </w:rPr>
        <w:t>219号）和国家有关文件精神，结合学校实际，制定本办法。</w:t>
      </w:r>
    </w:p>
    <w:p w14:paraId="094A90E9"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第二条</w:t>
      </w:r>
      <w:r>
        <w:rPr>
          <w:rFonts w:ascii="仿宋_gb2312" w:eastAsia="仿宋_gb2312" w:cs="Arial" w:hint="eastAsia"/>
          <w:color w:val="000000"/>
          <w:sz w:val="32"/>
          <w:szCs w:val="32"/>
        </w:rPr>
        <w:t xml:space="preserve"> 本办法适用于我校正式注册的、具有中华人民共和国国籍、纳入全国研究生招生计划的规定学制内的全日制研究生(个人档案转入我校的研究生，不含本校在职人员)。硕博连读研究生在注册为博士研究生之前按照硕士研究生身份参与评定，注册为博士研究生后按照博士研究生身份参与评定。</w:t>
      </w:r>
    </w:p>
    <w:p w14:paraId="0CA5F325"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lastRenderedPageBreak/>
        <w:t>第三条</w:t>
      </w:r>
      <w:r>
        <w:rPr>
          <w:rFonts w:ascii="仿宋_gb2312" w:eastAsia="仿宋_gb2312" w:cs="Arial" w:hint="eastAsia"/>
          <w:color w:val="000000"/>
          <w:sz w:val="32"/>
          <w:szCs w:val="32"/>
        </w:rPr>
        <w:t xml:space="preserve"> 研究生奖学金包括研究生国家奖学金和研究生学业奖学金。其中，研究生学业奖学金分为一等学业奖学金、二等学业奖学金、普通学业奖学金。</w:t>
      </w:r>
    </w:p>
    <w:p w14:paraId="556D8445"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第四条</w:t>
      </w:r>
      <w:r>
        <w:rPr>
          <w:rFonts w:ascii="仿宋_gb2312" w:eastAsia="仿宋_gb2312" w:cs="Arial" w:hint="eastAsia"/>
          <w:color w:val="000000"/>
          <w:sz w:val="32"/>
          <w:szCs w:val="32"/>
        </w:rPr>
        <w:t xml:space="preserve"> 奖学金的申请和评定遵循公开、公平、公正的原则。</w:t>
      </w:r>
    </w:p>
    <w:p w14:paraId="65781CE3" w14:textId="77777777" w:rsidR="00FC4356" w:rsidRDefault="00FC4356" w:rsidP="00FC4356">
      <w:pPr>
        <w:pStyle w:val="a7"/>
        <w:spacing w:line="405" w:lineRule="atLeast"/>
        <w:jc w:val="center"/>
        <w:rPr>
          <w:rFonts w:cs="Arial" w:hint="eastAsia"/>
          <w:color w:val="000000"/>
          <w:sz w:val="21"/>
          <w:szCs w:val="21"/>
        </w:rPr>
      </w:pPr>
      <w:r>
        <w:rPr>
          <w:rFonts w:cs="Arial" w:hint="eastAsia"/>
          <w:color w:val="000000"/>
          <w:sz w:val="21"/>
          <w:szCs w:val="21"/>
        </w:rPr>
        <w:t> </w:t>
      </w:r>
    </w:p>
    <w:p w14:paraId="4BF917CA" w14:textId="77777777" w:rsidR="00FC4356" w:rsidRDefault="00FC4356" w:rsidP="00FC4356">
      <w:pPr>
        <w:pStyle w:val="a7"/>
        <w:spacing w:line="570" w:lineRule="atLeast"/>
        <w:jc w:val="center"/>
        <w:rPr>
          <w:rFonts w:cs="Arial" w:hint="eastAsia"/>
          <w:color w:val="000000"/>
          <w:sz w:val="21"/>
          <w:szCs w:val="21"/>
        </w:rPr>
      </w:pPr>
      <w:r>
        <w:rPr>
          <w:rFonts w:ascii="黑体" w:eastAsia="黑体" w:hAnsi="黑体" w:cs="Arial" w:hint="eastAsia"/>
          <w:color w:val="000000"/>
          <w:sz w:val="32"/>
          <w:szCs w:val="32"/>
        </w:rPr>
        <w:t>第二章 评选条件</w:t>
      </w:r>
    </w:p>
    <w:p w14:paraId="2E128CBB" w14:textId="77777777" w:rsidR="00FC4356" w:rsidRDefault="00FC4356" w:rsidP="00FC4356">
      <w:pPr>
        <w:pStyle w:val="a7"/>
        <w:spacing w:line="405" w:lineRule="atLeast"/>
        <w:jc w:val="center"/>
        <w:rPr>
          <w:rFonts w:cs="Arial" w:hint="eastAsia"/>
          <w:color w:val="000000"/>
          <w:sz w:val="21"/>
          <w:szCs w:val="21"/>
        </w:rPr>
      </w:pPr>
      <w:r>
        <w:rPr>
          <w:rFonts w:cs="Arial" w:hint="eastAsia"/>
          <w:color w:val="000000"/>
          <w:sz w:val="21"/>
          <w:szCs w:val="21"/>
        </w:rPr>
        <w:t> </w:t>
      </w:r>
    </w:p>
    <w:p w14:paraId="18ADAE70"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第五条</w:t>
      </w:r>
      <w:r>
        <w:rPr>
          <w:rFonts w:ascii="仿宋_gb2312" w:eastAsia="仿宋_gb2312" w:cs="Arial" w:hint="eastAsia"/>
          <w:color w:val="000000"/>
          <w:sz w:val="32"/>
          <w:szCs w:val="32"/>
        </w:rPr>
        <w:t xml:space="preserve"> 华侨大学研究生奖学金基本条件：</w:t>
      </w:r>
    </w:p>
    <w:p w14:paraId="5A09C39F"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（一）热爱社会主义祖国，拥护中国共产党的领导；</w:t>
      </w:r>
    </w:p>
    <w:p w14:paraId="43A288CC"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（二）遵守宪法和法律，遵守学校规章制度；</w:t>
      </w:r>
    </w:p>
    <w:p w14:paraId="4D66D260"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（三）诚实守信，道德品质优良；</w:t>
      </w:r>
    </w:p>
    <w:p w14:paraId="7CA185A9"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（四）学习成绩优异，科研能力显著，发展潜力突出；</w:t>
      </w:r>
    </w:p>
    <w:p w14:paraId="5B91ADF6"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（五）积极参加校院级活动和社会实践；</w:t>
      </w:r>
    </w:p>
    <w:p w14:paraId="7ECBA316"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（六）社区表现分不在本</w:t>
      </w:r>
      <w:proofErr w:type="gramStart"/>
      <w:r>
        <w:rPr>
          <w:rFonts w:ascii="仿宋_gb2312" w:eastAsia="仿宋_gb2312" w:cs="Arial" w:hint="eastAsia"/>
          <w:color w:val="000000"/>
          <w:sz w:val="32"/>
          <w:szCs w:val="32"/>
        </w:rPr>
        <w:t>楼幢后</w:t>
      </w:r>
      <w:proofErr w:type="gramEnd"/>
      <w:r>
        <w:rPr>
          <w:rFonts w:ascii="仿宋_gb2312" w:eastAsia="仿宋_gb2312" w:cs="Arial" w:hint="eastAsia"/>
          <w:color w:val="000000"/>
          <w:sz w:val="32"/>
          <w:szCs w:val="32"/>
        </w:rPr>
        <w:t>30％，或考评结果虽居</w:t>
      </w:r>
      <w:proofErr w:type="gramStart"/>
      <w:r>
        <w:rPr>
          <w:rFonts w:ascii="仿宋_gb2312" w:eastAsia="仿宋_gb2312" w:cs="Arial" w:hint="eastAsia"/>
          <w:color w:val="000000"/>
          <w:sz w:val="32"/>
          <w:szCs w:val="32"/>
        </w:rPr>
        <w:t>楼幢后</w:t>
      </w:r>
      <w:proofErr w:type="gramEnd"/>
      <w:r>
        <w:rPr>
          <w:rFonts w:ascii="仿宋_gb2312" w:eastAsia="仿宋_gb2312" w:cs="Arial" w:hint="eastAsia"/>
          <w:color w:val="000000"/>
          <w:sz w:val="32"/>
          <w:szCs w:val="32"/>
        </w:rPr>
        <w:t>30％，但综合考评成绩不低于98分且无违规违纪行为；</w:t>
      </w:r>
    </w:p>
    <w:p w14:paraId="653C7255"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lastRenderedPageBreak/>
        <w:t>第六条</w:t>
      </w:r>
      <w:r>
        <w:rPr>
          <w:rFonts w:ascii="仿宋_gb2312" w:eastAsia="仿宋_gb2312" w:cs="Arial" w:hint="eastAsia"/>
          <w:color w:val="000000"/>
          <w:sz w:val="32"/>
          <w:szCs w:val="32"/>
        </w:rPr>
        <w:t xml:space="preserve"> 研究生有以下情况，取消奖学金参评资格：</w:t>
      </w:r>
    </w:p>
    <w:p w14:paraId="5AFB2415"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（一）未解除违纪处分者；</w:t>
      </w:r>
    </w:p>
    <w:p w14:paraId="6FA42779"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（二）未按期完成培养方案计划进度；</w:t>
      </w:r>
    </w:p>
    <w:p w14:paraId="078B31BD"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（三）公开发表的学术论文如涉及剽窃、伪造实验数据或有其他违背学术道德行为的研究生，在校期间不再具有奖学金申请资格。</w:t>
      </w:r>
    </w:p>
    <w:p w14:paraId="01FFDEFB"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第七条</w:t>
      </w:r>
      <w:r>
        <w:rPr>
          <w:rFonts w:ascii="仿宋_gb2312" w:eastAsia="仿宋_gb2312" w:cs="Arial" w:hint="eastAsia"/>
          <w:color w:val="000000"/>
          <w:sz w:val="32"/>
          <w:szCs w:val="32"/>
        </w:rPr>
        <w:t xml:space="preserve"> 研究生奖学金根据学生实际在校情况进行评定,学籍异动者按下列规定处理：</w:t>
      </w:r>
    </w:p>
    <w:p w14:paraId="5019E2F4"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（一）保留入学资格的研究生，在保留期内</w:t>
      </w:r>
      <w:proofErr w:type="gramStart"/>
      <w:r>
        <w:rPr>
          <w:rFonts w:ascii="仿宋_gb2312" w:eastAsia="仿宋_gb2312" w:cs="Arial" w:hint="eastAsia"/>
          <w:color w:val="000000"/>
          <w:sz w:val="32"/>
          <w:szCs w:val="32"/>
        </w:rPr>
        <w:t>不</w:t>
      </w:r>
      <w:proofErr w:type="gramEnd"/>
      <w:r>
        <w:rPr>
          <w:rFonts w:ascii="仿宋_gb2312" w:eastAsia="仿宋_gb2312" w:cs="Arial" w:hint="eastAsia"/>
          <w:color w:val="000000"/>
          <w:sz w:val="32"/>
          <w:szCs w:val="32"/>
        </w:rPr>
        <w:t>参评研究生奖学金，自正式入学后方可参评；</w:t>
      </w:r>
    </w:p>
    <w:p w14:paraId="0C248516"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（二）休学研究生，休学期内</w:t>
      </w:r>
      <w:proofErr w:type="gramStart"/>
      <w:r>
        <w:rPr>
          <w:rFonts w:ascii="仿宋_gb2312" w:eastAsia="仿宋_gb2312" w:cs="Arial" w:hint="eastAsia"/>
          <w:color w:val="000000"/>
          <w:sz w:val="32"/>
          <w:szCs w:val="32"/>
        </w:rPr>
        <w:t>不</w:t>
      </w:r>
      <w:proofErr w:type="gramEnd"/>
      <w:r>
        <w:rPr>
          <w:rFonts w:ascii="仿宋_gb2312" w:eastAsia="仿宋_gb2312" w:cs="Arial" w:hint="eastAsia"/>
          <w:color w:val="000000"/>
          <w:sz w:val="32"/>
          <w:szCs w:val="32"/>
        </w:rPr>
        <w:t>参评研究生奖学金。</w:t>
      </w:r>
    </w:p>
    <w:p w14:paraId="70124A52"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第八条</w:t>
      </w:r>
      <w:r>
        <w:rPr>
          <w:rFonts w:ascii="仿宋_gb2312" w:eastAsia="仿宋_gb2312" w:cs="Arial" w:hint="eastAsia"/>
          <w:color w:val="000000"/>
          <w:sz w:val="32"/>
          <w:szCs w:val="32"/>
        </w:rPr>
        <w:t xml:space="preserve"> 研究生国家奖学金</w:t>
      </w:r>
    </w:p>
    <w:p w14:paraId="08BA27E0"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（一）奖励标准及评选名额：</w:t>
      </w:r>
    </w:p>
    <w:p w14:paraId="6898680E"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博士研究生国家奖学金奖励标准为30000元/人，硕士研究生国家奖学金奖励标准为20000元/人，评选名额由国家下达。</w:t>
      </w:r>
    </w:p>
    <w:p w14:paraId="39DCDD51"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（二）申请条件：</w:t>
      </w:r>
    </w:p>
    <w:p w14:paraId="69234C68"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lastRenderedPageBreak/>
        <w:t>1.学年课程成绩（不含重修课程、跨学科补修本科主干课程）为优良的课程数占学习课程数的80％及以上，课程成绩合格且当学年无补考记录；提前修读课程，以成绩单显示学年时间和课程成绩计算课程门数及优良率（推免生在大四下学期提前修读的课程在学分认定后计入</w:t>
      </w:r>
      <w:proofErr w:type="gramStart"/>
      <w:r>
        <w:rPr>
          <w:rFonts w:ascii="仿宋_gb2312" w:eastAsia="仿宋_gb2312" w:cs="Arial" w:hint="eastAsia"/>
          <w:color w:val="000000"/>
          <w:sz w:val="32"/>
          <w:szCs w:val="32"/>
        </w:rPr>
        <w:t>研</w:t>
      </w:r>
      <w:proofErr w:type="gramEnd"/>
      <w:r>
        <w:rPr>
          <w:rFonts w:ascii="仿宋_gb2312" w:eastAsia="仿宋_gb2312" w:cs="Arial" w:hint="eastAsia"/>
          <w:color w:val="000000"/>
          <w:sz w:val="32"/>
          <w:szCs w:val="32"/>
        </w:rPr>
        <w:t>一上学期的课程数，课程成绩计入优良率）。</w:t>
      </w:r>
    </w:p>
    <w:p w14:paraId="0A3725C6"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 科研成果（论文、专利、竞赛获奖）必须以华侨大学为第一署名单位，且在所评选学年内取得（学年时间界定为9月1日至次年的8月31日）;发表高水平论文（博士研究生在学校二类A及以上期刊，硕士研究生在学校二类B及以上期刊）的学年时间可放宽为9月1日至次年的9月30日;发表学术论文以</w:t>
      </w:r>
      <w:proofErr w:type="gramStart"/>
      <w:r>
        <w:rPr>
          <w:rFonts w:ascii="仿宋_gb2312" w:eastAsia="仿宋_gb2312" w:cs="Arial" w:hint="eastAsia"/>
          <w:color w:val="000000"/>
          <w:sz w:val="32"/>
          <w:szCs w:val="32"/>
        </w:rPr>
        <w:t>实际见刊</w:t>
      </w:r>
      <w:proofErr w:type="gramEnd"/>
      <w:r>
        <w:rPr>
          <w:rFonts w:ascii="仿宋_gb2312" w:eastAsia="仿宋_gb2312" w:cs="Arial" w:hint="eastAsia"/>
          <w:color w:val="000000"/>
          <w:sz w:val="32"/>
          <w:szCs w:val="32"/>
        </w:rPr>
        <w:t>或网络发表为准（用稿通知无效）；科研成果不可重复申报使用。申请者科研成果须满足下列条件之一：</w:t>
      </w:r>
    </w:p>
    <w:p w14:paraId="00B0D74E"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（1）论文成果</w:t>
      </w:r>
    </w:p>
    <w:p w14:paraId="1B406B8F"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三年级博士研究生申请者须在我校三类A及以上期刊独立或以第一作者发表学术论文一篇及以上，或以导师第一作者、申请者第二作者发表学术论文两篇及以上（其中至少一篇为一类B及以上期刊）；</w:t>
      </w:r>
    </w:p>
    <w:p w14:paraId="116B047A"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lastRenderedPageBreak/>
        <w:t>三年级硕士研究生申请者须在CN号期刊或SCI、EI、SSCI、A&amp;HCI收录期刊上以第一作者发表学术论文一篇及以上，或者以导师第一作者、申请者第二作者发表学术论文两篇及以上；或在二类B及以上学术期刊以导师第一作者、申请者第二作者发表学术论文一篇及以上；</w:t>
      </w:r>
    </w:p>
    <w:p w14:paraId="51976BC9"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一、二年级申请者需在学术研究、科技开发上有优异表现，积极参加本学科学术交流活动、学科竞赛、社会实践活动，科研潜力突出。</w:t>
      </w:r>
    </w:p>
    <w:p w14:paraId="390EEDB3"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（2）专利成果</w:t>
      </w:r>
    </w:p>
    <w:p w14:paraId="0CC1CEF0"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获得授权的专利成果一项及以上，且本人作为专利第一申请人，或导师为第一申请人，本人为第二申请人；如获得授权的专利成果为实用新型专利或外观设计专利，须本人为专利第一申请人；</w:t>
      </w:r>
    </w:p>
    <w:p w14:paraId="022C77AD"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（3）学科竞赛</w:t>
      </w:r>
    </w:p>
    <w:p w14:paraId="7EF7DAF2"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获得权威机构主办的国际性或全国性学科竞赛国家级三等奖及以上。</w:t>
      </w:r>
    </w:p>
    <w:p w14:paraId="0597717A"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3.获得国家奖学金的研究生同时认定为一等学业奖学金获得者（不计入一等学业奖学金评选比例），荣誉兼得，但奖金就高，不兼得。</w:t>
      </w:r>
    </w:p>
    <w:p w14:paraId="1DE90D98"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lastRenderedPageBreak/>
        <w:t>第九条</w:t>
      </w:r>
      <w:r>
        <w:rPr>
          <w:rFonts w:ascii="仿宋_gb2312" w:eastAsia="仿宋_gb2312" w:cs="Arial" w:hint="eastAsia"/>
          <w:color w:val="000000"/>
          <w:sz w:val="32"/>
          <w:szCs w:val="32"/>
        </w:rPr>
        <w:t xml:space="preserve"> 研究生学业奖学金</w:t>
      </w:r>
    </w:p>
    <w:p w14:paraId="10BB4382"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研究生学业奖学金分为一等学业奖学金、二等学业奖学金和普通学业奖学金三种。一年级研究生不参与学业一、二等奖评选，只参与普通</w:t>
      </w:r>
      <w:proofErr w:type="gramStart"/>
      <w:r>
        <w:rPr>
          <w:rFonts w:ascii="仿宋_gb2312" w:eastAsia="仿宋_gb2312" w:cs="Arial" w:hint="eastAsia"/>
          <w:color w:val="000000"/>
          <w:sz w:val="32"/>
          <w:szCs w:val="32"/>
        </w:rPr>
        <w:t>学业奖</w:t>
      </w:r>
      <w:proofErr w:type="gramEnd"/>
      <w:r>
        <w:rPr>
          <w:rFonts w:ascii="仿宋_gb2312" w:eastAsia="仿宋_gb2312" w:cs="Arial" w:hint="eastAsia"/>
          <w:color w:val="000000"/>
          <w:sz w:val="32"/>
          <w:szCs w:val="32"/>
        </w:rPr>
        <w:t>的评选。</w:t>
      </w:r>
    </w:p>
    <w:p w14:paraId="7B198A0B"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（一）一等学业奖学金</w:t>
      </w:r>
    </w:p>
    <w:p w14:paraId="1DD1D490"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1.奖励标准及评选名额：</w:t>
      </w:r>
    </w:p>
    <w:p w14:paraId="15D468DD"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博士生一等学业奖学金奖励标准为18000元/人，获奖面为全校博士研究生（不含一年级）的10%；硕士生一等学业奖学金奖励标准为12000元/人，获奖面为全校硕士研究生（不含一年级）的10%。</w:t>
      </w:r>
    </w:p>
    <w:p w14:paraId="10C7A3E1"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2.申请条件：</w:t>
      </w:r>
    </w:p>
    <w:p w14:paraId="55E6AE0D"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（1） 学年课程成绩（不含重修课程、跨学科补修本科主干课程）为优良的课程数占学习课程数的70％及以上，且课程成绩合格；提前修读课程，以成绩单显示学年时间和课程成绩计算课程门数及优良率（推免生在大四下学期提前修读的课程在学分认定后计入</w:t>
      </w:r>
      <w:proofErr w:type="gramStart"/>
      <w:r>
        <w:rPr>
          <w:rFonts w:ascii="仿宋_gb2312" w:eastAsia="仿宋_gb2312" w:cs="Arial" w:hint="eastAsia"/>
          <w:color w:val="000000"/>
          <w:sz w:val="32"/>
          <w:szCs w:val="32"/>
        </w:rPr>
        <w:t>研</w:t>
      </w:r>
      <w:proofErr w:type="gramEnd"/>
      <w:r>
        <w:rPr>
          <w:rFonts w:ascii="仿宋_gb2312" w:eastAsia="仿宋_gb2312" w:cs="Arial" w:hint="eastAsia"/>
          <w:color w:val="000000"/>
          <w:sz w:val="32"/>
          <w:szCs w:val="32"/>
        </w:rPr>
        <w:t>一上学期的课程数，课程成绩计入优良率）。</w:t>
      </w:r>
    </w:p>
    <w:p w14:paraId="0DB01539"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（2）学术及科研要求与国家奖学金相同，学科竞赛类获得权威机构主办的学科竞赛省级一等奖及以上即可。</w:t>
      </w:r>
    </w:p>
    <w:p w14:paraId="372ADFC8"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lastRenderedPageBreak/>
        <w:t>（二）二等学业奖学金</w:t>
      </w:r>
    </w:p>
    <w:p w14:paraId="02D7DEB7"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1.奖励标准和评选名额：</w:t>
      </w:r>
    </w:p>
    <w:p w14:paraId="2E87CAE7"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博士生二等学业奖学金奖励标准为10000元/人，获奖面为全校博士研究生（不含一年级）的30%；硕士生二等学业奖学金奖励标准为8000元/人，获奖面为全校硕士研究生（不含一年级）的30%。</w:t>
      </w:r>
    </w:p>
    <w:p w14:paraId="2A7FD125"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2.申请条件：</w:t>
      </w:r>
    </w:p>
    <w:p w14:paraId="04873F07"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1）学年课程成绩（不含重修课程、跨学科补修本科主干课程）为优良的课程数占学习课程数的60％及以上，且课程成绩合格；提前修读课程，以成绩单显示学年时间和课程成绩计算课程门数及优良率（推免生在大四下学期提前修读的课程在学分认定后计入</w:t>
      </w:r>
      <w:proofErr w:type="gramStart"/>
      <w:r>
        <w:rPr>
          <w:rFonts w:ascii="仿宋_gb2312" w:eastAsia="仿宋_gb2312" w:cs="Arial" w:hint="eastAsia"/>
          <w:color w:val="000000"/>
          <w:sz w:val="32"/>
          <w:szCs w:val="32"/>
        </w:rPr>
        <w:t>研</w:t>
      </w:r>
      <w:proofErr w:type="gramEnd"/>
      <w:r>
        <w:rPr>
          <w:rFonts w:ascii="仿宋_gb2312" w:eastAsia="仿宋_gb2312" w:cs="Arial" w:hint="eastAsia"/>
          <w:color w:val="000000"/>
          <w:sz w:val="32"/>
          <w:szCs w:val="32"/>
        </w:rPr>
        <w:t>一上学期的课程数，课程成绩计入优良率）。</w:t>
      </w:r>
    </w:p>
    <w:p w14:paraId="5389A710"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（2）学术及科研要求与国家奖学金相同，学科竞赛类获得权威机构主办的学科竞赛省级三等奖及以上即可。</w:t>
      </w:r>
    </w:p>
    <w:p w14:paraId="62DB0181"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（三）普通学业奖学金</w:t>
      </w:r>
    </w:p>
    <w:p w14:paraId="06D592E6"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1.奖励标准及评选名额：</w:t>
      </w:r>
    </w:p>
    <w:p w14:paraId="4A713DA6"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lastRenderedPageBreak/>
        <w:t>（1）二、三年级博士生普通学业奖学金奖励标准为5000元/人，一年级博士生普通学业奖学金按6000元/人进行评审。</w:t>
      </w:r>
    </w:p>
    <w:p w14:paraId="7556D6B4"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（2）二、三年级硕士生普通学业奖学金奖励标准为4000元/人，一年级硕士生普通学业奖学金按5000元/人进行评审。</w:t>
      </w:r>
    </w:p>
    <w:p w14:paraId="1F77A995"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2.申请条件：</w:t>
      </w:r>
    </w:p>
    <w:p w14:paraId="4CB18C13"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（1）勤奋学习，努力掌握专业知识，各门课程学习成绩合格。</w:t>
      </w:r>
    </w:p>
    <w:p w14:paraId="525791AA"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（2）一年级研究生须本人凭录取通知书申请。</w:t>
      </w:r>
    </w:p>
    <w:p w14:paraId="047BFBA8"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第十条</w:t>
      </w:r>
      <w:r>
        <w:rPr>
          <w:rFonts w:ascii="仿宋_gb2312" w:eastAsia="仿宋_gb2312" w:cs="Arial" w:hint="eastAsia"/>
          <w:color w:val="000000"/>
          <w:sz w:val="32"/>
          <w:szCs w:val="32"/>
        </w:rPr>
        <w:t xml:space="preserve"> 具备以下条件的申请者，同等条件下可优先申请研究生奖学金：</w:t>
      </w:r>
    </w:p>
    <w:p w14:paraId="237207CB"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1.在社会公益活动中表现突出的，具有良好社会影响力；</w:t>
      </w:r>
    </w:p>
    <w:p w14:paraId="68A1AD38"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2.担任班长、党支部书记、院级学生组织部长及以上、校级学生组织副部长及以上研究生干部满一年，工作特别突出的；</w:t>
      </w:r>
    </w:p>
    <w:p w14:paraId="1D7F1935"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lastRenderedPageBreak/>
        <w:t>3.作为项目主要成员参与研发的新产品或新技术已推广应用，并取得显著经济社会效益；</w:t>
      </w:r>
    </w:p>
    <w:p w14:paraId="2FF6D441" w14:textId="77777777" w:rsidR="00FC4356" w:rsidRDefault="00FC4356" w:rsidP="00FC4356">
      <w:pPr>
        <w:pStyle w:val="a7"/>
        <w:spacing w:line="570" w:lineRule="atLeast"/>
        <w:ind w:firstLine="645"/>
        <w:rPr>
          <w:rFonts w:cs="Arial" w:hint="eastAsia"/>
          <w:color w:val="000000"/>
          <w:sz w:val="21"/>
          <w:szCs w:val="21"/>
        </w:rPr>
      </w:pPr>
      <w:r>
        <w:rPr>
          <w:rFonts w:ascii="仿宋_gb2312" w:eastAsia="仿宋_gb2312" w:cs="Arial" w:hint="eastAsia"/>
          <w:color w:val="000000"/>
          <w:sz w:val="32"/>
          <w:szCs w:val="32"/>
        </w:rPr>
        <w:t>4.积极</w:t>
      </w:r>
      <w:proofErr w:type="gramStart"/>
      <w:r>
        <w:rPr>
          <w:rFonts w:ascii="仿宋_gb2312" w:eastAsia="仿宋_gb2312" w:cs="Arial" w:hint="eastAsia"/>
          <w:color w:val="000000"/>
          <w:sz w:val="32"/>
          <w:szCs w:val="32"/>
        </w:rPr>
        <w:t>参加科创竞赛</w:t>
      </w:r>
      <w:proofErr w:type="gramEnd"/>
      <w:r>
        <w:rPr>
          <w:rFonts w:ascii="仿宋_gb2312" w:eastAsia="仿宋_gb2312" w:cs="Arial" w:hint="eastAsia"/>
          <w:color w:val="000000"/>
          <w:sz w:val="32"/>
          <w:szCs w:val="32"/>
        </w:rPr>
        <w:t>、社会实践、社会工</w:t>
      </w:r>
      <w:r>
        <w:rPr>
          <w:rFonts w:ascii="仿宋_gb2312" w:eastAsia="仿宋_gb2312" w:cs="Arial" w:hint="eastAsia"/>
          <w:color w:val="000000"/>
          <w:spacing w:val="-15"/>
          <w:sz w:val="32"/>
          <w:szCs w:val="32"/>
        </w:rPr>
        <w:t>作并有优异表现。</w:t>
      </w:r>
    </w:p>
    <w:p w14:paraId="2B399ED3" w14:textId="77777777" w:rsidR="00FC4356" w:rsidRDefault="00FC4356" w:rsidP="00FC4356">
      <w:pPr>
        <w:pStyle w:val="a7"/>
        <w:spacing w:line="570" w:lineRule="atLeast"/>
        <w:ind w:firstLine="660"/>
        <w:rPr>
          <w:rFonts w:cs="Arial" w:hint="eastAsia"/>
          <w:color w:val="000000"/>
          <w:sz w:val="21"/>
          <w:szCs w:val="21"/>
        </w:rPr>
      </w:pPr>
      <w:r>
        <w:rPr>
          <w:rFonts w:cs="Arial" w:hint="eastAsia"/>
          <w:color w:val="000000"/>
          <w:sz w:val="21"/>
          <w:szCs w:val="21"/>
        </w:rPr>
        <w:t> </w:t>
      </w:r>
    </w:p>
    <w:p w14:paraId="5C8EDCFE" w14:textId="77777777" w:rsidR="00FC4356" w:rsidRDefault="00FC4356" w:rsidP="00FC4356">
      <w:pPr>
        <w:pStyle w:val="a7"/>
        <w:spacing w:line="570" w:lineRule="atLeast"/>
        <w:jc w:val="center"/>
        <w:rPr>
          <w:rFonts w:cs="Arial" w:hint="eastAsia"/>
          <w:color w:val="000000"/>
          <w:sz w:val="21"/>
          <w:szCs w:val="21"/>
        </w:rPr>
      </w:pPr>
      <w:r>
        <w:rPr>
          <w:rFonts w:ascii="黑体" w:eastAsia="黑体" w:hAnsi="黑体" w:cs="Arial" w:hint="eastAsia"/>
          <w:color w:val="000000"/>
          <w:sz w:val="32"/>
          <w:szCs w:val="32"/>
        </w:rPr>
        <w:t>第三章 奖学金的申请</w:t>
      </w:r>
    </w:p>
    <w:p w14:paraId="6FC0DC07" w14:textId="77777777" w:rsidR="00FC4356" w:rsidRDefault="00FC4356" w:rsidP="00FC4356">
      <w:pPr>
        <w:pStyle w:val="a7"/>
        <w:spacing w:line="570" w:lineRule="atLeast"/>
        <w:ind w:firstLine="615"/>
        <w:rPr>
          <w:rFonts w:cs="Arial" w:hint="eastAsia"/>
          <w:color w:val="000000"/>
          <w:sz w:val="21"/>
          <w:szCs w:val="21"/>
        </w:rPr>
      </w:pPr>
      <w:r>
        <w:rPr>
          <w:rFonts w:cs="Arial" w:hint="eastAsia"/>
          <w:color w:val="000000"/>
          <w:sz w:val="21"/>
          <w:szCs w:val="21"/>
        </w:rPr>
        <w:t> </w:t>
      </w:r>
    </w:p>
    <w:p w14:paraId="54C5FDFD" w14:textId="77777777" w:rsidR="00FC4356" w:rsidRDefault="00FC4356" w:rsidP="00FC4356">
      <w:pPr>
        <w:pStyle w:val="a7"/>
        <w:spacing w:line="570" w:lineRule="atLeast"/>
        <w:ind w:firstLine="615"/>
        <w:rPr>
          <w:rFonts w:cs="Arial" w:hint="eastAsia"/>
          <w:color w:val="000000"/>
          <w:sz w:val="21"/>
          <w:szCs w:val="21"/>
        </w:rPr>
      </w:pPr>
      <w:r>
        <w:rPr>
          <w:rStyle w:val="a8"/>
          <w:rFonts w:ascii="仿宋_gb2312" w:eastAsia="仿宋_gb2312" w:cs="Arial" w:hint="eastAsia"/>
          <w:color w:val="000000"/>
          <w:spacing w:val="-15"/>
          <w:sz w:val="32"/>
          <w:szCs w:val="32"/>
        </w:rPr>
        <w:t>第十一条</w:t>
      </w:r>
      <w:r>
        <w:rPr>
          <w:rFonts w:cs="Arial" w:hint="eastAsia"/>
          <w:color w:val="000000"/>
          <w:sz w:val="21"/>
          <w:szCs w:val="21"/>
        </w:rPr>
        <w:t xml:space="preserve">  </w:t>
      </w:r>
      <w:r>
        <w:rPr>
          <w:rFonts w:ascii="仿宋_gb2312" w:eastAsia="仿宋_gb2312" w:cs="Arial" w:hint="eastAsia"/>
          <w:color w:val="000000"/>
          <w:spacing w:val="-15"/>
          <w:sz w:val="32"/>
          <w:szCs w:val="32"/>
        </w:rPr>
        <w:t>学校于每年10月份陆续开展各类奖学金的评定工作。</w:t>
      </w:r>
    </w:p>
    <w:p w14:paraId="4AADC015"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第十二条</w:t>
      </w:r>
      <w:r>
        <w:rPr>
          <w:rFonts w:ascii="仿宋_gb2312" w:eastAsia="仿宋_gb2312" w:cs="Arial" w:hint="eastAsia"/>
          <w:color w:val="000000"/>
          <w:sz w:val="32"/>
          <w:szCs w:val="32"/>
        </w:rPr>
        <w:t xml:space="preserve"> 符合条件的研究生均可向所在学院（研究院）提出申请。</w:t>
      </w:r>
    </w:p>
    <w:p w14:paraId="06AEB20F"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第十三条</w:t>
      </w:r>
      <w:r>
        <w:rPr>
          <w:rFonts w:cs="Arial" w:hint="eastAsia"/>
          <w:color w:val="000000"/>
          <w:sz w:val="21"/>
          <w:szCs w:val="21"/>
        </w:rPr>
        <w:t xml:space="preserve"> </w:t>
      </w:r>
      <w:r>
        <w:rPr>
          <w:rFonts w:ascii="仿宋_gb2312" w:eastAsia="仿宋_gb2312" w:cs="Arial" w:hint="eastAsia"/>
          <w:color w:val="000000"/>
          <w:sz w:val="32"/>
          <w:szCs w:val="32"/>
        </w:rPr>
        <w:t>同一学年内奖学金与助学金可兼得；奖学金与各类荣誉称号可兼得。</w:t>
      </w:r>
    </w:p>
    <w:p w14:paraId="76F1A769" w14:textId="77777777" w:rsidR="00FC4356" w:rsidRDefault="00FC4356" w:rsidP="00FC4356">
      <w:pPr>
        <w:pStyle w:val="a7"/>
        <w:spacing w:line="570" w:lineRule="atLeast"/>
        <w:jc w:val="center"/>
        <w:rPr>
          <w:rFonts w:cs="Arial" w:hint="eastAsia"/>
          <w:color w:val="000000"/>
          <w:sz w:val="21"/>
          <w:szCs w:val="21"/>
        </w:rPr>
      </w:pPr>
      <w:r>
        <w:rPr>
          <w:rFonts w:cs="Arial" w:hint="eastAsia"/>
          <w:color w:val="000000"/>
          <w:sz w:val="21"/>
          <w:szCs w:val="21"/>
        </w:rPr>
        <w:t> </w:t>
      </w:r>
    </w:p>
    <w:p w14:paraId="2FB06FAA" w14:textId="77777777" w:rsidR="00FC4356" w:rsidRDefault="00FC4356" w:rsidP="00FC4356">
      <w:pPr>
        <w:pStyle w:val="a7"/>
        <w:spacing w:line="570" w:lineRule="atLeast"/>
        <w:jc w:val="center"/>
        <w:rPr>
          <w:rFonts w:cs="Arial" w:hint="eastAsia"/>
          <w:color w:val="000000"/>
          <w:sz w:val="21"/>
          <w:szCs w:val="21"/>
        </w:rPr>
      </w:pPr>
      <w:r>
        <w:rPr>
          <w:rFonts w:ascii="黑体" w:eastAsia="黑体" w:hAnsi="黑体" w:cs="Arial" w:hint="eastAsia"/>
          <w:color w:val="000000"/>
          <w:sz w:val="32"/>
          <w:szCs w:val="32"/>
        </w:rPr>
        <w:t>第四章 奖学金的评选</w:t>
      </w:r>
    </w:p>
    <w:p w14:paraId="1EB8A4CD" w14:textId="77777777" w:rsidR="00FC4356" w:rsidRDefault="00FC4356" w:rsidP="00FC4356">
      <w:pPr>
        <w:pStyle w:val="a7"/>
        <w:spacing w:line="570" w:lineRule="atLeast"/>
        <w:ind w:firstLine="645"/>
        <w:rPr>
          <w:rFonts w:cs="Arial" w:hint="eastAsia"/>
          <w:color w:val="000000"/>
          <w:sz w:val="21"/>
          <w:szCs w:val="21"/>
        </w:rPr>
      </w:pPr>
      <w:r>
        <w:rPr>
          <w:rFonts w:cs="Arial" w:hint="eastAsia"/>
          <w:color w:val="000000"/>
          <w:sz w:val="21"/>
          <w:szCs w:val="21"/>
        </w:rPr>
        <w:t> </w:t>
      </w:r>
    </w:p>
    <w:p w14:paraId="2C97105C"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lastRenderedPageBreak/>
        <w:t>第十四条</w:t>
      </w:r>
      <w:r>
        <w:rPr>
          <w:rFonts w:ascii="仿宋_gb2312" w:eastAsia="仿宋_gb2312" w:cs="Arial" w:hint="eastAsia"/>
          <w:color w:val="000000"/>
          <w:sz w:val="32"/>
          <w:szCs w:val="32"/>
        </w:rPr>
        <w:t xml:space="preserve"> 学校成立研究生奖学金评审委员会，负责奖学金的评审，由校主管领导、相关职能部门负责人、研究生导师代表等组成。评审委员会下设办公室及评审小组，办公室设在研究生院，评审小组设在各学院（研究院）。</w:t>
      </w:r>
    </w:p>
    <w:p w14:paraId="3A5B62A1"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第十五条</w:t>
      </w:r>
      <w:r>
        <w:rPr>
          <w:rFonts w:ascii="仿宋_gb2312" w:eastAsia="仿宋_gb2312" w:cs="Arial" w:hint="eastAsia"/>
          <w:color w:val="000000"/>
          <w:sz w:val="32"/>
          <w:szCs w:val="32"/>
        </w:rPr>
        <w:t xml:space="preserve"> 各学院（研究院）成立研究生奖学金评审小组，由基层单位主要领导任主任委员，研究生导师、行政管理人员、学生代表任委员，按照民主评选的程序，具体组织实施本学院（研究院）奖学金评审工作。</w:t>
      </w:r>
    </w:p>
    <w:p w14:paraId="5EE37FB8"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第十六条</w:t>
      </w:r>
      <w:r>
        <w:rPr>
          <w:rFonts w:ascii="仿宋_gb2312" w:eastAsia="仿宋_gb2312" w:cs="Arial" w:hint="eastAsia"/>
          <w:color w:val="000000"/>
          <w:sz w:val="32"/>
          <w:szCs w:val="32"/>
        </w:rPr>
        <w:t xml:space="preserve"> </w:t>
      </w:r>
      <w:r>
        <w:rPr>
          <w:rFonts w:ascii="仿宋_gb2312" w:eastAsia="仿宋_gb2312" w:cs="Arial" w:hint="eastAsia"/>
          <w:color w:val="000000"/>
          <w:sz w:val="32"/>
          <w:szCs w:val="32"/>
        </w:rPr>
        <w:t> </w:t>
      </w:r>
      <w:r>
        <w:rPr>
          <w:rFonts w:ascii="仿宋_gb2312" w:eastAsia="仿宋_gb2312" w:cs="Arial" w:hint="eastAsia"/>
          <w:color w:val="000000"/>
          <w:sz w:val="32"/>
          <w:szCs w:val="32"/>
        </w:rPr>
        <w:t>学生申请后，经学院（研究院）评审小组初审，并将初审结果在学院内公示5个工作日，公示无异议后上报研究生院，研究生院将复审结果在全校范围内公示5个工作日，公示无异议后报评审委员会，评审委员会终审并确定名单。</w:t>
      </w:r>
    </w:p>
    <w:p w14:paraId="58A7AFC0"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第十七条</w:t>
      </w:r>
      <w:r>
        <w:rPr>
          <w:rFonts w:ascii="仿宋_gb2312" w:eastAsia="仿宋_gb2312" w:cs="Arial" w:hint="eastAsia"/>
          <w:color w:val="000000"/>
          <w:sz w:val="32"/>
          <w:szCs w:val="32"/>
        </w:rPr>
        <w:t xml:space="preserve"> 对奖学金初评结果有异议者，可在学院（研究院）初评结果公示之日起5个工作日内，向学院（研究院）评审小组提出书面异议，评审小组应在接受异议后3个工作日内做出答复。如对学院（研究院）评审小组答复仍有异议，可在评审小组答复后5个工作日内向研究生院提出书面申诉。研究生院接受申诉后5个工作日内进行调查，并对有关材料进行审核后提出处理意见，提请校评审</w:t>
      </w:r>
      <w:r>
        <w:rPr>
          <w:rFonts w:ascii="仿宋_gb2312" w:eastAsia="仿宋_gb2312" w:cs="Arial" w:hint="eastAsia"/>
          <w:color w:val="000000"/>
          <w:sz w:val="32"/>
          <w:szCs w:val="32"/>
        </w:rPr>
        <w:lastRenderedPageBreak/>
        <w:t>委员会审定。评审委员会对申诉的处理意见为最终处理意见。</w:t>
      </w:r>
    </w:p>
    <w:p w14:paraId="340E46E5" w14:textId="77777777" w:rsidR="00FC4356" w:rsidRDefault="00FC4356" w:rsidP="00FC4356">
      <w:pPr>
        <w:pStyle w:val="a7"/>
        <w:spacing w:line="570" w:lineRule="atLeast"/>
        <w:ind w:firstLine="645"/>
        <w:rPr>
          <w:rFonts w:cs="Arial" w:hint="eastAsia"/>
          <w:color w:val="000000"/>
          <w:sz w:val="21"/>
          <w:szCs w:val="21"/>
        </w:rPr>
      </w:pPr>
      <w:r>
        <w:rPr>
          <w:rFonts w:cs="Arial" w:hint="eastAsia"/>
          <w:color w:val="000000"/>
          <w:sz w:val="21"/>
          <w:szCs w:val="21"/>
        </w:rPr>
        <w:t> </w:t>
      </w:r>
    </w:p>
    <w:p w14:paraId="22C2997B" w14:textId="77777777" w:rsidR="00FC4356" w:rsidRDefault="00FC4356" w:rsidP="00FC4356">
      <w:pPr>
        <w:pStyle w:val="a7"/>
        <w:spacing w:line="570" w:lineRule="atLeast"/>
        <w:jc w:val="center"/>
        <w:rPr>
          <w:rFonts w:cs="Arial" w:hint="eastAsia"/>
          <w:color w:val="000000"/>
          <w:sz w:val="21"/>
          <w:szCs w:val="21"/>
        </w:rPr>
      </w:pPr>
      <w:r>
        <w:rPr>
          <w:rFonts w:ascii="黑体" w:eastAsia="黑体" w:hAnsi="黑体" w:cs="Arial" w:hint="eastAsia"/>
          <w:color w:val="000000"/>
          <w:sz w:val="32"/>
          <w:szCs w:val="32"/>
        </w:rPr>
        <w:t>第五章 奖学金的发放</w:t>
      </w:r>
    </w:p>
    <w:p w14:paraId="1E86D8CE" w14:textId="77777777" w:rsidR="00FC4356" w:rsidRDefault="00FC4356" w:rsidP="00FC4356">
      <w:pPr>
        <w:pStyle w:val="a7"/>
        <w:spacing w:line="570" w:lineRule="atLeast"/>
        <w:ind w:firstLine="645"/>
        <w:rPr>
          <w:rFonts w:cs="Arial" w:hint="eastAsia"/>
          <w:color w:val="000000"/>
          <w:sz w:val="21"/>
          <w:szCs w:val="21"/>
        </w:rPr>
      </w:pPr>
      <w:r>
        <w:rPr>
          <w:rFonts w:cs="Arial" w:hint="eastAsia"/>
          <w:color w:val="000000"/>
          <w:sz w:val="21"/>
          <w:szCs w:val="21"/>
        </w:rPr>
        <w:t> </w:t>
      </w:r>
    </w:p>
    <w:p w14:paraId="36381780"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第十八条</w:t>
      </w:r>
      <w:r>
        <w:rPr>
          <w:rFonts w:ascii="仿宋_gb2312" w:eastAsia="仿宋_gb2312" w:cs="Arial" w:hint="eastAsia"/>
          <w:color w:val="000000"/>
          <w:sz w:val="32"/>
          <w:szCs w:val="32"/>
        </w:rPr>
        <w:t xml:space="preserve"> 国家奖学金由国家统一颁发奖学金和获奖证书。学校为一等学业奖学金、二等学业奖学金获得者颁发奖学金和获奖证书。普通学业奖学金只发放奖金，不发放证书。</w:t>
      </w:r>
    </w:p>
    <w:p w14:paraId="20EA59FA"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第十九条</w:t>
      </w:r>
      <w:r>
        <w:rPr>
          <w:rFonts w:ascii="仿宋_gb2312" w:eastAsia="仿宋_gb2312" w:cs="Arial" w:hint="eastAsia"/>
          <w:color w:val="000000"/>
          <w:sz w:val="32"/>
          <w:szCs w:val="32"/>
        </w:rPr>
        <w:t xml:space="preserve"> 获奖学生如欠缴学杂费，所获奖学金原则上应首先用于偿还所欠费用。</w:t>
      </w:r>
    </w:p>
    <w:p w14:paraId="598A8271" w14:textId="77777777" w:rsidR="00FC4356" w:rsidRDefault="00FC4356" w:rsidP="00FC4356">
      <w:pPr>
        <w:pStyle w:val="a7"/>
        <w:spacing w:line="570" w:lineRule="atLeast"/>
        <w:jc w:val="center"/>
        <w:rPr>
          <w:rFonts w:cs="Arial" w:hint="eastAsia"/>
          <w:color w:val="000000"/>
          <w:sz w:val="21"/>
          <w:szCs w:val="21"/>
        </w:rPr>
      </w:pPr>
      <w:r>
        <w:rPr>
          <w:rFonts w:cs="Arial" w:hint="eastAsia"/>
          <w:color w:val="000000"/>
          <w:sz w:val="21"/>
          <w:szCs w:val="21"/>
        </w:rPr>
        <w:t> </w:t>
      </w:r>
    </w:p>
    <w:p w14:paraId="31BB12DA" w14:textId="77777777" w:rsidR="00FC4356" w:rsidRDefault="00FC4356" w:rsidP="00FC4356">
      <w:pPr>
        <w:pStyle w:val="a7"/>
        <w:spacing w:line="570" w:lineRule="atLeast"/>
        <w:jc w:val="center"/>
        <w:rPr>
          <w:rFonts w:cs="Arial" w:hint="eastAsia"/>
          <w:color w:val="000000"/>
          <w:sz w:val="21"/>
          <w:szCs w:val="21"/>
        </w:rPr>
      </w:pPr>
      <w:r>
        <w:rPr>
          <w:rFonts w:ascii="黑体" w:eastAsia="黑体" w:hAnsi="黑体" w:cs="Arial" w:hint="eastAsia"/>
          <w:color w:val="000000"/>
          <w:sz w:val="32"/>
          <w:szCs w:val="32"/>
        </w:rPr>
        <w:t>第六章</w:t>
      </w:r>
      <w:r>
        <w:rPr>
          <w:rFonts w:cs="Arial" w:hint="eastAsia"/>
          <w:color w:val="000000"/>
          <w:sz w:val="21"/>
          <w:szCs w:val="21"/>
        </w:rPr>
        <w:t xml:space="preserve">  </w:t>
      </w:r>
      <w:r>
        <w:rPr>
          <w:rFonts w:ascii="黑体" w:eastAsia="黑体" w:hAnsi="黑体" w:cs="Arial" w:hint="eastAsia"/>
          <w:color w:val="000000"/>
          <w:sz w:val="32"/>
          <w:szCs w:val="32"/>
        </w:rPr>
        <w:t>附则</w:t>
      </w:r>
    </w:p>
    <w:p w14:paraId="70CEFAF3" w14:textId="77777777" w:rsidR="00FC4356" w:rsidRDefault="00FC4356" w:rsidP="00FC4356">
      <w:pPr>
        <w:pStyle w:val="a7"/>
        <w:spacing w:line="570" w:lineRule="atLeast"/>
        <w:ind w:firstLine="645"/>
        <w:rPr>
          <w:rFonts w:cs="Arial" w:hint="eastAsia"/>
          <w:color w:val="000000"/>
          <w:sz w:val="21"/>
          <w:szCs w:val="21"/>
        </w:rPr>
      </w:pPr>
      <w:r>
        <w:rPr>
          <w:rFonts w:cs="Arial" w:hint="eastAsia"/>
          <w:color w:val="000000"/>
          <w:sz w:val="21"/>
          <w:szCs w:val="21"/>
        </w:rPr>
        <w:t> </w:t>
      </w:r>
    </w:p>
    <w:p w14:paraId="4F7E409A"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第二十条</w:t>
      </w:r>
      <w:r>
        <w:rPr>
          <w:rFonts w:cs="Arial" w:hint="eastAsia"/>
          <w:color w:val="000000"/>
          <w:sz w:val="21"/>
          <w:szCs w:val="21"/>
        </w:rPr>
        <w:t xml:space="preserve"> </w:t>
      </w:r>
      <w:r>
        <w:rPr>
          <w:rFonts w:ascii="仿宋_gb2312" w:eastAsia="仿宋_gb2312" w:cs="Arial" w:hint="eastAsia"/>
          <w:color w:val="000000"/>
          <w:sz w:val="32"/>
          <w:szCs w:val="32"/>
        </w:rPr>
        <w:t>各学院（研究院）须根据本办法制定实施细则，并报研究生院备案。</w:t>
      </w:r>
    </w:p>
    <w:p w14:paraId="39812565"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t>第二十一条</w:t>
      </w:r>
      <w:r>
        <w:rPr>
          <w:rFonts w:ascii="仿宋_gb2312" w:eastAsia="仿宋_gb2312" w:cs="Arial" w:hint="eastAsia"/>
          <w:color w:val="000000"/>
          <w:sz w:val="32"/>
          <w:szCs w:val="32"/>
        </w:rPr>
        <w:t xml:space="preserve"> 本办法由研究生院负责解释。</w:t>
      </w:r>
    </w:p>
    <w:p w14:paraId="2A84582D" w14:textId="77777777" w:rsidR="00FC4356" w:rsidRDefault="00FC4356" w:rsidP="00FC4356">
      <w:pPr>
        <w:pStyle w:val="a7"/>
        <w:spacing w:line="570" w:lineRule="atLeast"/>
        <w:ind w:firstLine="645"/>
        <w:rPr>
          <w:rFonts w:cs="Arial" w:hint="eastAsia"/>
          <w:color w:val="000000"/>
          <w:sz w:val="21"/>
          <w:szCs w:val="21"/>
        </w:rPr>
      </w:pPr>
      <w:r>
        <w:rPr>
          <w:rStyle w:val="a8"/>
          <w:rFonts w:ascii="仿宋_gb2312" w:eastAsia="仿宋_gb2312" w:cs="Arial" w:hint="eastAsia"/>
          <w:color w:val="000000"/>
          <w:sz w:val="32"/>
          <w:szCs w:val="32"/>
        </w:rPr>
        <w:lastRenderedPageBreak/>
        <w:t>第二十二条</w:t>
      </w:r>
      <w:r>
        <w:rPr>
          <w:rFonts w:cs="Arial" w:hint="eastAsia"/>
          <w:color w:val="000000"/>
          <w:sz w:val="21"/>
          <w:szCs w:val="21"/>
        </w:rPr>
        <w:t xml:space="preserve"> </w:t>
      </w:r>
      <w:r>
        <w:rPr>
          <w:rFonts w:ascii="仿宋_gb2312" w:eastAsia="仿宋_gb2312" w:cs="Arial" w:hint="eastAsia"/>
          <w:color w:val="000000"/>
          <w:sz w:val="32"/>
          <w:szCs w:val="32"/>
        </w:rPr>
        <w:t>本办法适用于2014级及以后学生，自2017年9月起施行,</w:t>
      </w:r>
      <w:r>
        <w:rPr>
          <w:rFonts w:cs="Arial" w:hint="eastAsia"/>
          <w:color w:val="000000"/>
          <w:sz w:val="21"/>
          <w:szCs w:val="21"/>
        </w:rPr>
        <w:t xml:space="preserve"> </w:t>
      </w:r>
      <w:r>
        <w:rPr>
          <w:rFonts w:ascii="仿宋_gb2312" w:eastAsia="仿宋_gb2312" w:cs="Arial" w:hint="eastAsia"/>
          <w:color w:val="000000"/>
          <w:sz w:val="32"/>
          <w:szCs w:val="32"/>
        </w:rPr>
        <w:t>原《华侨大学研究生奖学金实施办法（试行）》（华大学〔2014〕15号）同时废止。</w:t>
      </w:r>
    </w:p>
    <w:p w14:paraId="75E8B802" w14:textId="77777777" w:rsidR="008B7971" w:rsidRPr="00FC4356" w:rsidRDefault="008B7971">
      <w:bookmarkStart w:id="0" w:name="_GoBack"/>
      <w:bookmarkEnd w:id="0"/>
    </w:p>
    <w:sectPr w:rsidR="008B7971" w:rsidRPr="00FC4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2BB7D" w14:textId="77777777" w:rsidR="00FC2D4D" w:rsidRDefault="00FC2D4D" w:rsidP="00FC4356">
      <w:r>
        <w:separator/>
      </w:r>
    </w:p>
  </w:endnote>
  <w:endnote w:type="continuationSeparator" w:id="0">
    <w:p w14:paraId="3BDE1FF5" w14:textId="77777777" w:rsidR="00FC2D4D" w:rsidRDefault="00FC2D4D" w:rsidP="00FC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7E59" w14:textId="77777777" w:rsidR="00FC2D4D" w:rsidRDefault="00FC2D4D" w:rsidP="00FC4356">
      <w:r>
        <w:separator/>
      </w:r>
    </w:p>
  </w:footnote>
  <w:footnote w:type="continuationSeparator" w:id="0">
    <w:p w14:paraId="4C423CCB" w14:textId="77777777" w:rsidR="00FC2D4D" w:rsidRDefault="00FC2D4D" w:rsidP="00FC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55"/>
    <w:rsid w:val="002E315C"/>
    <w:rsid w:val="008B7971"/>
    <w:rsid w:val="00E71555"/>
    <w:rsid w:val="00FC2D4D"/>
    <w:rsid w:val="00FC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968147-C268-4C58-A711-E405204A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3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4356"/>
    <w:rPr>
      <w:sz w:val="18"/>
      <w:szCs w:val="18"/>
    </w:rPr>
  </w:style>
  <w:style w:type="paragraph" w:styleId="a5">
    <w:name w:val="footer"/>
    <w:basedOn w:val="a"/>
    <w:link w:val="a6"/>
    <w:uiPriority w:val="99"/>
    <w:unhideWhenUsed/>
    <w:rsid w:val="00FC4356"/>
    <w:pPr>
      <w:tabs>
        <w:tab w:val="center" w:pos="4153"/>
        <w:tab w:val="right" w:pos="8306"/>
      </w:tabs>
      <w:snapToGrid w:val="0"/>
      <w:jc w:val="left"/>
    </w:pPr>
    <w:rPr>
      <w:sz w:val="18"/>
      <w:szCs w:val="18"/>
    </w:rPr>
  </w:style>
  <w:style w:type="character" w:customStyle="1" w:styleId="a6">
    <w:name w:val="页脚 字符"/>
    <w:basedOn w:val="a0"/>
    <w:link w:val="a5"/>
    <w:uiPriority w:val="99"/>
    <w:rsid w:val="00FC4356"/>
    <w:rPr>
      <w:sz w:val="18"/>
      <w:szCs w:val="18"/>
    </w:rPr>
  </w:style>
  <w:style w:type="paragraph" w:styleId="a7">
    <w:name w:val="Normal (Web)"/>
    <w:basedOn w:val="a"/>
    <w:uiPriority w:val="99"/>
    <w:semiHidden/>
    <w:unhideWhenUsed/>
    <w:rsid w:val="00FC435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C4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90856">
      <w:bodyDiv w:val="1"/>
      <w:marLeft w:val="0"/>
      <w:marRight w:val="0"/>
      <w:marTop w:val="0"/>
      <w:marBottom w:val="0"/>
      <w:divBdr>
        <w:top w:val="none" w:sz="0" w:space="0" w:color="auto"/>
        <w:left w:val="none" w:sz="0" w:space="0" w:color="auto"/>
        <w:bottom w:val="none" w:sz="0" w:space="0" w:color="auto"/>
        <w:right w:val="none" w:sz="0" w:space="0" w:color="auto"/>
      </w:divBdr>
      <w:divsChild>
        <w:div w:id="361706620">
          <w:marLeft w:val="0"/>
          <w:marRight w:val="0"/>
          <w:marTop w:val="0"/>
          <w:marBottom w:val="0"/>
          <w:divBdr>
            <w:top w:val="none" w:sz="0" w:space="0" w:color="auto"/>
            <w:left w:val="none" w:sz="0" w:space="0" w:color="auto"/>
            <w:bottom w:val="none" w:sz="0" w:space="0" w:color="auto"/>
            <w:right w:val="none" w:sz="0" w:space="0" w:color="auto"/>
          </w:divBdr>
          <w:divsChild>
            <w:div w:id="460347612">
              <w:marLeft w:val="0"/>
              <w:marRight w:val="0"/>
              <w:marTop w:val="0"/>
              <w:marBottom w:val="0"/>
              <w:divBdr>
                <w:top w:val="none" w:sz="0" w:space="0" w:color="auto"/>
                <w:left w:val="none" w:sz="0" w:space="0" w:color="auto"/>
                <w:bottom w:val="none" w:sz="0" w:space="0" w:color="auto"/>
                <w:right w:val="none" w:sz="0" w:space="0" w:color="auto"/>
              </w:divBdr>
              <w:divsChild>
                <w:div w:id="7433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maymay</dc:creator>
  <cp:keywords/>
  <dc:description/>
  <cp:lastModifiedBy>maymay</cp:lastModifiedBy>
  <cp:revision>2</cp:revision>
  <dcterms:created xsi:type="dcterms:W3CDTF">2020-02-22T06:25:00Z</dcterms:created>
  <dcterms:modified xsi:type="dcterms:W3CDTF">2020-02-22T06:26:00Z</dcterms:modified>
</cp:coreProperties>
</file>