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ascii="微软雅黑" w:hAnsi="微软雅黑" w:eastAsia="微软雅黑" w:cs="微软雅黑"/>
          <w:b w:val="0"/>
          <w:i w:val="0"/>
          <w:caps w:val="0"/>
          <w:color w:val="000000"/>
          <w:spacing w:val="0"/>
          <w:sz w:val="27"/>
          <w:szCs w:val="27"/>
        </w:rPr>
      </w:pPr>
      <w:r>
        <w:rPr>
          <w:rFonts w:ascii="仿宋" w:hAnsi="仿宋" w:eastAsia="仿宋" w:cs="仿宋"/>
          <w:b/>
          <w:i w:val="0"/>
          <w:caps w:val="0"/>
          <w:color w:val="000000"/>
          <w:spacing w:val="0"/>
          <w:kern w:val="0"/>
          <w:sz w:val="28"/>
          <w:szCs w:val="28"/>
          <w:bdr w:val="none" w:color="auto" w:sz="0" w:space="0"/>
          <w:lang w:val="en-US" w:eastAsia="zh-CN" w:bidi="ar"/>
        </w:rPr>
        <w:t>一、</w:t>
      </w:r>
      <w:r>
        <w:rPr>
          <w:rFonts w:hint="eastAsia" w:ascii="仿宋" w:hAnsi="仿宋" w:eastAsia="仿宋" w:cs="仿宋"/>
          <w:b/>
          <w:i w:val="0"/>
          <w:caps w:val="0"/>
          <w:color w:val="000000"/>
          <w:spacing w:val="0"/>
          <w:kern w:val="0"/>
          <w:sz w:val="28"/>
          <w:szCs w:val="28"/>
          <w:bdr w:val="none" w:color="auto" w:sz="0" w:space="0"/>
          <w:lang w:val="en-US" w:eastAsia="zh-CN" w:bidi="ar"/>
        </w:rPr>
        <w:t>复试录取工作领导小组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二、各专业（方向）招生计划、复试分数线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5"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 </w:t>
      </w:r>
    </w:p>
    <w:tbl>
      <w:tblPr>
        <w:tblW w:w="9030" w:type="dxa"/>
        <w:jc w:val="center"/>
        <w:tblInd w:w="-25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13"/>
        <w:gridCol w:w="1802"/>
        <w:gridCol w:w="1033"/>
        <w:gridCol w:w="1283"/>
        <w:gridCol w:w="1784"/>
        <w:gridCol w:w="19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2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专业代码</w:t>
            </w:r>
          </w:p>
        </w:tc>
        <w:tc>
          <w:tcPr>
            <w:tcW w:w="1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专业名称</w:t>
            </w:r>
          </w:p>
        </w:tc>
        <w:tc>
          <w:tcPr>
            <w:tcW w:w="103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分数线</w:t>
            </w:r>
          </w:p>
        </w:tc>
        <w:tc>
          <w:tcPr>
            <w:tcW w:w="12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方式</w:t>
            </w:r>
          </w:p>
        </w:tc>
        <w:tc>
          <w:tcPr>
            <w:tcW w:w="178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拟招收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名额</w:t>
            </w:r>
          </w:p>
        </w:tc>
        <w:tc>
          <w:tcPr>
            <w:tcW w:w="191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045114</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现代教育技术</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国家线</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全日制</w:t>
            </w:r>
          </w:p>
        </w:tc>
        <w:tc>
          <w:tcPr>
            <w:tcW w:w="178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1</w:t>
            </w:r>
          </w:p>
        </w:tc>
        <w:tc>
          <w:tcPr>
            <w:tcW w:w="19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055200</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新闻与传播</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364</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全日制</w:t>
            </w:r>
          </w:p>
        </w:tc>
        <w:tc>
          <w:tcPr>
            <w:tcW w:w="178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34</w:t>
            </w:r>
          </w:p>
        </w:tc>
        <w:tc>
          <w:tcPr>
            <w:tcW w:w="19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050300</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新闻传播学</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国家线</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全日制</w:t>
            </w:r>
          </w:p>
        </w:tc>
        <w:tc>
          <w:tcPr>
            <w:tcW w:w="178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16(</w:t>
            </w:r>
            <w:r>
              <w:rPr>
                <w:rFonts w:hint="eastAsia" w:ascii="仿宋" w:hAnsi="仿宋" w:eastAsia="仿宋" w:cs="仿宋"/>
                <w:bdr w:val="none" w:color="auto" w:sz="0" w:space="0"/>
              </w:rPr>
              <w:t>含</w:t>
            </w:r>
            <w:r>
              <w:rPr>
                <w:rFonts w:hint="eastAsia" w:ascii="仿宋" w:hAnsi="仿宋" w:eastAsia="仿宋" w:cs="仿宋"/>
                <w:bdr w:val="none" w:color="auto" w:sz="0" w:space="0"/>
                <w:lang w:val="en-US"/>
              </w:rPr>
              <w:t>6</w:t>
            </w:r>
            <w:r>
              <w:rPr>
                <w:rFonts w:hint="eastAsia" w:ascii="仿宋" w:hAnsi="仿宋" w:eastAsia="仿宋" w:cs="仿宋"/>
                <w:bdr w:val="none" w:color="auto" w:sz="0" w:space="0"/>
              </w:rPr>
              <w:t>个推免</w:t>
            </w:r>
            <w:r>
              <w:rPr>
                <w:rFonts w:hint="eastAsia" w:ascii="仿宋" w:hAnsi="仿宋" w:eastAsia="仿宋" w:cs="仿宋"/>
                <w:bdr w:val="none" w:color="auto" w:sz="0" w:space="0"/>
                <w:lang w:val="en-US"/>
              </w:rPr>
              <w:t>)</w:t>
            </w:r>
          </w:p>
        </w:tc>
        <w:tc>
          <w:tcPr>
            <w:tcW w:w="19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078401</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18"/>
                <w:szCs w:val="18"/>
                <w:bdr w:val="none" w:color="auto" w:sz="0" w:space="0"/>
                <w:lang w:val="en-US" w:eastAsia="zh-CN" w:bidi="ar"/>
              </w:rPr>
              <w:t>教育技术学</w:t>
            </w:r>
          </w:p>
        </w:tc>
        <w:tc>
          <w:tcPr>
            <w:tcW w:w="10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375</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rPr>
              <w:t>全日制</w:t>
            </w:r>
          </w:p>
        </w:tc>
        <w:tc>
          <w:tcPr>
            <w:tcW w:w="178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5</w:t>
            </w:r>
          </w:p>
        </w:tc>
        <w:tc>
          <w:tcPr>
            <w:tcW w:w="19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dr w:val="none" w:color="auto" w:sz="0" w:space="0"/>
                <w:lang w:val="en-US"/>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2"/>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1.</w:t>
      </w:r>
      <w:r>
        <w:rPr>
          <w:rFonts w:hint="eastAsia" w:ascii="仿宋" w:hAnsi="仿宋" w:eastAsia="仿宋" w:cs="仿宋"/>
          <w:b w:val="0"/>
          <w:i w:val="0"/>
          <w:caps w:val="0"/>
          <w:color w:val="000000"/>
          <w:spacing w:val="0"/>
          <w:sz w:val="28"/>
          <w:szCs w:val="28"/>
          <w:bdr w:val="none" w:color="auto" w:sz="0" w:space="0"/>
        </w:rPr>
        <w:t>外语听力和口语水平测试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rPr>
        <w:t>所有专业考生均须进行外语听力和口语水平测试，分值为</w:t>
      </w:r>
      <w:r>
        <w:rPr>
          <w:rFonts w:hint="eastAsia" w:ascii="仿宋" w:hAnsi="仿宋" w:eastAsia="仿宋" w:cs="仿宋"/>
          <w:b w:val="0"/>
          <w:i w:val="0"/>
          <w:caps w:val="0"/>
          <w:color w:val="000000"/>
          <w:spacing w:val="0"/>
          <w:sz w:val="28"/>
          <w:szCs w:val="28"/>
          <w:bdr w:val="none" w:color="auto" w:sz="0" w:space="0"/>
          <w:lang w:val="en-US"/>
        </w:rPr>
        <w:t>30</w:t>
      </w:r>
      <w:r>
        <w:rPr>
          <w:rFonts w:hint="eastAsia" w:ascii="仿宋" w:hAnsi="仿宋" w:eastAsia="仿宋" w:cs="仿宋"/>
          <w:b w:val="0"/>
          <w:i w:val="0"/>
          <w:caps w:val="0"/>
          <w:color w:val="000000"/>
          <w:spacing w:val="0"/>
          <w:sz w:val="28"/>
          <w:szCs w:val="28"/>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3.</w:t>
      </w:r>
      <w:r>
        <w:rPr>
          <w:rFonts w:hint="eastAsia" w:ascii="仿宋" w:hAnsi="仿宋" w:eastAsia="仿宋" w:cs="仿宋"/>
          <w:b w:val="0"/>
          <w:i w:val="0"/>
          <w:caps w:val="0"/>
          <w:color w:val="000000"/>
          <w:spacing w:val="0"/>
          <w:sz w:val="28"/>
          <w:szCs w:val="28"/>
          <w:bdr w:val="none" w:color="auto" w:sz="0" w:space="0"/>
        </w:rPr>
        <w:t>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rPr>
        <w:t>所有专业均须进行专业测试，分值为</w:t>
      </w:r>
      <w:r>
        <w:rPr>
          <w:rFonts w:hint="eastAsia" w:ascii="仿宋" w:hAnsi="仿宋" w:eastAsia="仿宋" w:cs="仿宋"/>
          <w:b w:val="0"/>
          <w:i w:val="0"/>
          <w:caps w:val="0"/>
          <w:color w:val="000000"/>
          <w:spacing w:val="0"/>
          <w:sz w:val="28"/>
          <w:szCs w:val="28"/>
          <w:bdr w:val="none" w:color="auto" w:sz="0" w:space="0"/>
          <w:lang w:val="en-US"/>
        </w:rPr>
        <w:t>120</w:t>
      </w:r>
      <w:r>
        <w:rPr>
          <w:rFonts w:hint="eastAsia" w:ascii="仿宋" w:hAnsi="仿宋" w:eastAsia="仿宋" w:cs="仿宋"/>
          <w:b w:val="0"/>
          <w:i w:val="0"/>
          <w:caps w:val="0"/>
          <w:color w:val="000000"/>
          <w:spacing w:val="0"/>
          <w:sz w:val="28"/>
          <w:szCs w:val="28"/>
          <w:bdr w:val="none" w:color="auto" w:sz="0" w:space="0"/>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专业测试着重考核考生对专业基础理论、基本知识掌握的深度和广度。考试形式为笔试（闭卷）,考试时间为120分钟。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4.综合素质面试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面试主要考核考生的专业基础知识、创新意识与能力、心理健康状况及综合素质等。面试采取抽取题签回答问题的形式，如面试教师认为有必要，可补充提问。分值为100分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5.同等学力加试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以同等学力参加复试的考生，在复试中须加试至少两门与报考专业相关的本科主干课程。加试科目不得与初试科目相同。加试方式为笔试。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面试主要考核考生的专业基础知识、创新意识与能力及综合素质等。面试采取抽取题签回答问题的形式，如面试教师认为有必要，可补充提问。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四、复试日程安排</w:t>
      </w:r>
    </w:p>
    <w:tbl>
      <w:tblPr>
        <w:tblW w:w="85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27"/>
        <w:gridCol w:w="2579"/>
        <w:gridCol w:w="1704"/>
        <w:gridCol w:w="1705"/>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序号</w:t>
            </w:r>
          </w:p>
        </w:tc>
        <w:tc>
          <w:tcPr>
            <w:tcW w:w="25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项目</w:t>
            </w:r>
          </w:p>
        </w:tc>
        <w:tc>
          <w:tcPr>
            <w:tcW w:w="170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时间</w:t>
            </w:r>
          </w:p>
        </w:tc>
        <w:tc>
          <w:tcPr>
            <w:tcW w:w="1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地点</w:t>
            </w:r>
          </w:p>
        </w:tc>
        <w:tc>
          <w:tcPr>
            <w:tcW w:w="1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1</w:t>
            </w:r>
          </w:p>
        </w:tc>
        <w:tc>
          <w:tcPr>
            <w:tcW w:w="25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报到、资格审查</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3月29日上午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9:30—11:00</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名达楼M4208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学院二楼会议室</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须携带身份证及复印件、学历（学籍）在线验证报告打印件、政审表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2</w:t>
            </w:r>
          </w:p>
        </w:tc>
        <w:tc>
          <w:tcPr>
            <w:tcW w:w="25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专业测试</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3月29日下午2:00</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惟义楼</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身份证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2</w:t>
            </w:r>
          </w:p>
        </w:tc>
        <w:tc>
          <w:tcPr>
            <w:tcW w:w="25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体检</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3月 30日上午</w:t>
            </w:r>
            <w:bookmarkStart w:id="0" w:name="_GoBack"/>
            <w:bookmarkEnd w:id="0"/>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校医院</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身份证、一寸近期免冠照片2张体检费70元等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4</w:t>
            </w:r>
          </w:p>
        </w:tc>
        <w:tc>
          <w:tcPr>
            <w:tcW w:w="25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综合素质面试</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3月31日上午8:20</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惟义楼</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身份证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5</w:t>
            </w:r>
          </w:p>
        </w:tc>
        <w:tc>
          <w:tcPr>
            <w:tcW w:w="25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外语口语听力</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3月31日上午8:20</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惟义楼</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val="0"/>
                <w:i w:val="0"/>
                <w:caps w:val="0"/>
                <w:color w:val="000000"/>
                <w:spacing w:val="0"/>
                <w:kern w:val="0"/>
                <w:sz w:val="24"/>
                <w:szCs w:val="24"/>
                <w:bdr w:val="none" w:color="auto" w:sz="0" w:space="0"/>
                <w:lang w:val="en-US" w:eastAsia="zh-CN" w:bidi="ar"/>
              </w:rPr>
              <w:t>身份证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笔试参考书目：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4"/>
          <w:szCs w:val="24"/>
          <w:bdr w:val="none" w:color="auto" w:sz="0" w:space="0"/>
          <w:lang w:val="en-US" w:eastAsia="zh-CN" w:bidi="ar"/>
        </w:rPr>
        <w:t>新闻传播类专业：大众传播理论流派与范式 刘海龙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4"/>
          <w:szCs w:val="24"/>
          <w:bdr w:val="none" w:color="auto" w:sz="0" w:space="0"/>
          <w:lang w:val="en-US" w:eastAsia="zh-CN" w:bidi="ar"/>
        </w:rPr>
        <w:t>教育技术类：教育技术学 何克抗 </w:t>
      </w:r>
      <w:r>
        <w:rPr>
          <w:rFonts w:hint="eastAsia" w:ascii="仿宋" w:hAnsi="仿宋" w:eastAsia="仿宋" w:cs="仿宋"/>
          <w:b w:val="0"/>
          <w:i w:val="0"/>
          <w:caps w:val="0"/>
          <w:color w:val="000000"/>
          <w:spacing w:val="0"/>
          <w:kern w:val="0"/>
          <w:sz w:val="24"/>
          <w:szCs w:val="24"/>
          <w:u w:val="none"/>
          <w:bdr w:val="none" w:color="auto" w:sz="0" w:space="0"/>
          <w:lang w:val="en-US" w:eastAsia="zh-CN" w:bidi="ar"/>
        </w:rPr>
        <w:fldChar w:fldCharType="begin"/>
      </w:r>
      <w:r>
        <w:rPr>
          <w:rFonts w:hint="eastAsia" w:ascii="仿宋" w:hAnsi="仿宋" w:eastAsia="仿宋" w:cs="仿宋"/>
          <w:b w:val="0"/>
          <w:i w:val="0"/>
          <w:caps w:val="0"/>
          <w:color w:val="000000"/>
          <w:spacing w:val="0"/>
          <w:kern w:val="0"/>
          <w:sz w:val="24"/>
          <w:szCs w:val="24"/>
          <w:u w:val="none"/>
          <w:bdr w:val="none" w:color="auto" w:sz="0" w:space="0"/>
          <w:lang w:val="en-US" w:eastAsia="zh-CN" w:bidi="ar"/>
        </w:rPr>
        <w:instrText xml:space="preserve"> HYPERLINK "http://item.jd.com/book.jd.com/writer/%e6%9d%8e%e6%96%87%e5%85%89_1.html" \t "http://item.jd.com/_blank" </w:instrText>
      </w:r>
      <w:r>
        <w:rPr>
          <w:rFonts w:hint="eastAsia" w:ascii="仿宋" w:hAnsi="仿宋" w:eastAsia="仿宋" w:cs="仿宋"/>
          <w:b w:val="0"/>
          <w:i w:val="0"/>
          <w:caps w:val="0"/>
          <w:color w:val="000000"/>
          <w:spacing w:val="0"/>
          <w:kern w:val="0"/>
          <w:sz w:val="24"/>
          <w:szCs w:val="24"/>
          <w:u w:val="none"/>
          <w:bdr w:val="none" w:color="auto" w:sz="0" w:space="0"/>
          <w:lang w:val="en-US" w:eastAsia="zh-CN" w:bidi="ar"/>
        </w:rPr>
        <w:fldChar w:fldCharType="separate"/>
      </w:r>
      <w:r>
        <w:rPr>
          <w:rStyle w:val="7"/>
          <w:rFonts w:hint="eastAsia" w:ascii="仿宋" w:hAnsi="仿宋" w:eastAsia="仿宋" w:cs="仿宋"/>
          <w:b w:val="0"/>
          <w:i w:val="0"/>
          <w:caps w:val="0"/>
          <w:color w:val="auto"/>
          <w:spacing w:val="0"/>
          <w:sz w:val="24"/>
          <w:szCs w:val="24"/>
          <w:u w:val="none"/>
          <w:bdr w:val="none" w:color="auto" w:sz="0" w:space="0"/>
          <w:lang w:val="en-US"/>
        </w:rPr>
        <w:t>李文光</w:t>
      </w:r>
      <w:r>
        <w:rPr>
          <w:rFonts w:hint="eastAsia" w:ascii="仿宋" w:hAnsi="仿宋" w:eastAsia="仿宋" w:cs="仿宋"/>
          <w:b w:val="0"/>
          <w:i w:val="0"/>
          <w:caps w:val="0"/>
          <w:color w:val="000000"/>
          <w:spacing w:val="0"/>
          <w:kern w:val="0"/>
          <w:sz w:val="24"/>
          <w:szCs w:val="24"/>
          <w:u w:val="none"/>
          <w:bdr w:val="none" w:color="auto" w:sz="0" w:space="0"/>
          <w:lang w:val="en-US" w:eastAsia="zh-CN" w:bidi="ar"/>
        </w:rPr>
        <w:fldChar w:fldCharType="end"/>
      </w:r>
      <w:r>
        <w:rPr>
          <w:rFonts w:hint="eastAsia" w:ascii="仿宋" w:hAnsi="仿宋" w:eastAsia="仿宋" w:cs="仿宋"/>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4"/>
          <w:szCs w:val="24"/>
          <w:bdr w:val="none" w:color="auto" w:sz="0" w:space="0"/>
          <w:lang w:val="en-US" w:eastAsia="zh-CN" w:bidi="ar"/>
        </w:rPr>
        <w:t>同等学力参考书：新闻采访与写作 刘海贵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4"/>
          <w:szCs w:val="24"/>
          <w:bdr w:val="none" w:color="auto" w:sz="0" w:space="0"/>
          <w:lang w:val="en-US" w:eastAsia="zh-CN" w:bidi="ar"/>
        </w:rPr>
        <w:t>新闻评论教程  丁法章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4"/>
          <w:szCs w:val="24"/>
          <w:bdr w:val="none" w:color="auto" w:sz="0" w:space="0"/>
          <w:lang w:val="en-US" w:eastAsia="zh-CN" w:bidi="ar"/>
        </w:rPr>
        <w:t>日程具体安排详见报到所发材料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五、总成绩计算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总成绩=初试成绩+复试成绩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六、拟录取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1.</w:t>
      </w:r>
      <w:r>
        <w:rPr>
          <w:rFonts w:hint="eastAsia" w:ascii="仿宋" w:hAnsi="仿宋" w:eastAsia="仿宋" w:cs="仿宋"/>
          <w:b w:val="0"/>
          <w:i w:val="0"/>
          <w:caps w:val="0"/>
          <w:color w:val="000000"/>
          <w:spacing w:val="0"/>
          <w:sz w:val="28"/>
          <w:szCs w:val="28"/>
          <w:bdr w:val="none" w:color="auto" w:sz="0" w:space="0"/>
        </w:rPr>
        <w:t>未经复试的考生一律不得录取；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2.</w:t>
      </w:r>
      <w:r>
        <w:rPr>
          <w:rFonts w:hint="eastAsia" w:ascii="仿宋" w:hAnsi="仿宋" w:eastAsia="仿宋" w:cs="仿宋"/>
          <w:b w:val="0"/>
          <w:i w:val="0"/>
          <w:caps w:val="0"/>
          <w:color w:val="000000"/>
          <w:spacing w:val="0"/>
          <w:sz w:val="28"/>
          <w:szCs w:val="28"/>
          <w:bdr w:val="none" w:color="auto" w:sz="0" w:space="0"/>
        </w:rPr>
        <w:t>复试期间若发现考生提供虚假信息、不符合报考条件、考试违纪舞弊、身体及思想政治道德状况不符合录取要求的，一律不予录取；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3.</w:t>
      </w:r>
      <w:r>
        <w:rPr>
          <w:rFonts w:hint="eastAsia" w:ascii="仿宋" w:hAnsi="仿宋" w:eastAsia="仿宋" w:cs="仿宋"/>
          <w:b w:val="0"/>
          <w:i w:val="0"/>
          <w:caps w:val="0"/>
          <w:color w:val="000000"/>
          <w:spacing w:val="0"/>
          <w:sz w:val="28"/>
          <w:szCs w:val="28"/>
          <w:bdr w:val="none" w:color="auto" w:sz="0" w:space="0"/>
        </w:rPr>
        <w:t>复试总成绩</w:t>
      </w:r>
      <w:r>
        <w:rPr>
          <w:rFonts w:hint="eastAsia" w:ascii="仿宋" w:hAnsi="仿宋" w:eastAsia="仿宋" w:cs="仿宋"/>
          <w:b w:val="0"/>
          <w:i w:val="0"/>
          <w:caps w:val="0"/>
          <w:color w:val="000000"/>
          <w:spacing w:val="0"/>
          <w:sz w:val="28"/>
          <w:szCs w:val="28"/>
          <w:bdr w:val="none" w:color="auto" w:sz="0" w:space="0"/>
          <w:lang w:val="en-US"/>
        </w:rPr>
        <w:t>150</w:t>
      </w:r>
      <w:r>
        <w:rPr>
          <w:rFonts w:hint="eastAsia" w:ascii="仿宋" w:hAnsi="仿宋" w:eastAsia="仿宋" w:cs="仿宋"/>
          <w:b w:val="0"/>
          <w:i w:val="0"/>
          <w:caps w:val="0"/>
          <w:color w:val="000000"/>
          <w:spacing w:val="0"/>
          <w:sz w:val="28"/>
          <w:szCs w:val="28"/>
          <w:bdr w:val="none" w:color="auto" w:sz="0" w:space="0"/>
        </w:rPr>
        <w:t>为合格，或同等学力考生加试科目中的任何一门考试成绩低于</w:t>
      </w:r>
      <w:r>
        <w:rPr>
          <w:rFonts w:hint="eastAsia" w:ascii="仿宋" w:hAnsi="仿宋" w:eastAsia="仿宋" w:cs="仿宋"/>
          <w:b w:val="0"/>
          <w:i w:val="0"/>
          <w:caps w:val="0"/>
          <w:color w:val="000000"/>
          <w:spacing w:val="0"/>
          <w:sz w:val="28"/>
          <w:szCs w:val="28"/>
          <w:bdr w:val="none" w:color="auto" w:sz="0" w:space="0"/>
          <w:lang w:val="en-US"/>
        </w:rPr>
        <w:t>60</w:t>
      </w:r>
      <w:r>
        <w:rPr>
          <w:rFonts w:hint="eastAsia" w:ascii="仿宋" w:hAnsi="仿宋" w:eastAsia="仿宋" w:cs="仿宋"/>
          <w:b w:val="0"/>
          <w:i w:val="0"/>
          <w:caps w:val="0"/>
          <w:color w:val="000000"/>
          <w:spacing w:val="0"/>
          <w:sz w:val="28"/>
          <w:szCs w:val="28"/>
          <w:bdr w:val="none" w:color="auto" w:sz="0" w:space="0"/>
        </w:rPr>
        <w:t>分，或任一科目考试成绩为零分的，原则上不予录取。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4.</w:t>
      </w:r>
      <w:r>
        <w:rPr>
          <w:rFonts w:hint="eastAsia" w:ascii="仿宋" w:hAnsi="仿宋" w:eastAsia="仿宋" w:cs="仿宋"/>
          <w:b w:val="0"/>
          <w:i w:val="0"/>
          <w:caps w:val="0"/>
          <w:color w:val="000000"/>
          <w:spacing w:val="0"/>
          <w:sz w:val="28"/>
          <w:szCs w:val="28"/>
          <w:bdr w:val="none" w:color="auto" w:sz="0" w:space="0"/>
        </w:rPr>
        <w:t>复试总成绩与初试总成绩相加为考生总成绩。录取时按照考生总成绩排序，依次录取。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5.</w:t>
      </w:r>
      <w:r>
        <w:rPr>
          <w:rFonts w:hint="eastAsia" w:ascii="仿宋" w:hAnsi="仿宋" w:eastAsia="仿宋" w:cs="仿宋"/>
          <w:b w:val="0"/>
          <w:i w:val="0"/>
          <w:caps w:val="0"/>
          <w:color w:val="000000"/>
          <w:spacing w:val="0"/>
          <w:sz w:val="28"/>
          <w:szCs w:val="28"/>
          <w:bdr w:val="none" w:color="auto" w:sz="0" w:space="0"/>
        </w:rPr>
        <w:t>调剂考生须在复试结果公布后按研招办要求及时办理有关调剂录取手续，否则将取消拟录取资格。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6.</w:t>
      </w:r>
      <w:r>
        <w:rPr>
          <w:rFonts w:hint="eastAsia" w:ascii="仿宋" w:hAnsi="仿宋" w:eastAsia="仿宋" w:cs="仿宋"/>
          <w:b w:val="0"/>
          <w:i w:val="0"/>
          <w:caps w:val="0"/>
          <w:color w:val="000000"/>
          <w:spacing w:val="0"/>
          <w:sz w:val="28"/>
          <w:szCs w:val="28"/>
          <w:bdr w:val="none" w:color="auto" w:sz="0" w:space="0"/>
        </w:rPr>
        <w:t>一志愿考生、调剂生分别单独排名录取。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28"/>
          <w:szCs w:val="28"/>
          <w:bdr w:val="none" w:color="auto" w:sz="0" w:space="0"/>
          <w:lang w:val="en-US"/>
        </w:rPr>
        <w:t>7.</w:t>
      </w:r>
      <w:r>
        <w:rPr>
          <w:rFonts w:hint="eastAsia" w:ascii="仿宋" w:hAnsi="仿宋" w:eastAsia="仿宋" w:cs="仿宋"/>
          <w:b w:val="0"/>
          <w:i w:val="0"/>
          <w:caps w:val="0"/>
          <w:color w:val="000000"/>
          <w:spacing w:val="0"/>
          <w:sz w:val="28"/>
          <w:szCs w:val="28"/>
          <w:bdr w:val="none" w:color="auto" w:sz="0" w:space="0"/>
        </w:rPr>
        <w:t>同一专业全日制与非全日制考生分开排名录取。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8.“少数民族高层次骨干人才计划”、“退役大学生士兵专项硕士研究生招生计划”考生分别单独排名。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七、公示网址：</w:t>
      </w:r>
      <w:r>
        <w:rPr>
          <w:rFonts w:hint="eastAsia" w:ascii="仿宋" w:hAnsi="仿宋" w:eastAsia="仿宋" w:cs="仿宋"/>
          <w:b/>
          <w:i w:val="0"/>
          <w:caps w:val="0"/>
          <w:color w:val="000000"/>
          <w:spacing w:val="0"/>
          <w:kern w:val="0"/>
          <w:sz w:val="28"/>
          <w:szCs w:val="28"/>
          <w:u w:val="none"/>
          <w:bdr w:val="none" w:color="auto" w:sz="0" w:space="0"/>
          <w:lang w:val="en-US" w:eastAsia="zh-CN" w:bidi="ar"/>
        </w:rPr>
        <w:fldChar w:fldCharType="begin"/>
      </w:r>
      <w:r>
        <w:rPr>
          <w:rFonts w:hint="eastAsia" w:ascii="仿宋" w:hAnsi="仿宋" w:eastAsia="仿宋" w:cs="仿宋"/>
          <w:b/>
          <w:i w:val="0"/>
          <w:caps w:val="0"/>
          <w:color w:val="000000"/>
          <w:spacing w:val="0"/>
          <w:kern w:val="0"/>
          <w:sz w:val="28"/>
          <w:szCs w:val="28"/>
          <w:u w:val="none"/>
          <w:bdr w:val="none" w:color="auto" w:sz="0" w:space="0"/>
          <w:lang w:val="en-US" w:eastAsia="zh-CN" w:bidi="ar"/>
        </w:rPr>
        <w:instrText xml:space="preserve"> HYPERLINK "http://cbxy.jxnu.edu.cn/" </w:instrText>
      </w:r>
      <w:r>
        <w:rPr>
          <w:rFonts w:hint="eastAsia" w:ascii="仿宋" w:hAnsi="仿宋" w:eastAsia="仿宋" w:cs="仿宋"/>
          <w:b/>
          <w:i w:val="0"/>
          <w:caps w:val="0"/>
          <w:color w:val="000000"/>
          <w:spacing w:val="0"/>
          <w:kern w:val="0"/>
          <w:sz w:val="28"/>
          <w:szCs w:val="28"/>
          <w:u w:val="none"/>
          <w:bdr w:val="none" w:color="auto" w:sz="0" w:space="0"/>
          <w:lang w:val="en-US" w:eastAsia="zh-CN" w:bidi="ar"/>
        </w:rPr>
        <w:fldChar w:fldCharType="separate"/>
      </w:r>
      <w:r>
        <w:rPr>
          <w:rStyle w:val="7"/>
          <w:rFonts w:hint="eastAsia" w:ascii="仿宋" w:hAnsi="仿宋" w:eastAsia="仿宋" w:cs="仿宋"/>
          <w:b/>
          <w:i w:val="0"/>
          <w:caps w:val="0"/>
          <w:color w:val="000000"/>
          <w:spacing w:val="0"/>
          <w:sz w:val="28"/>
          <w:szCs w:val="28"/>
          <w:u w:val="none"/>
          <w:bdr w:val="none" w:color="auto" w:sz="0" w:space="0"/>
          <w:lang w:val="en-US"/>
        </w:rPr>
        <w:t>http://cbxy.jxnu.edu.cn/</w:t>
      </w:r>
      <w:r>
        <w:rPr>
          <w:rFonts w:hint="eastAsia" w:ascii="仿宋" w:hAnsi="仿宋" w:eastAsia="仿宋" w:cs="仿宋"/>
          <w:b/>
          <w:i w:val="0"/>
          <w:caps w:val="0"/>
          <w:color w:val="000000"/>
          <w:spacing w:val="0"/>
          <w:kern w:val="0"/>
          <w:sz w:val="28"/>
          <w:szCs w:val="28"/>
          <w:u w:val="none"/>
          <w:bdr w:val="none" w:color="auto" w:sz="0" w:space="0"/>
          <w:lang w:val="en-US" w:eastAsia="zh-CN" w:bidi="ar"/>
        </w:rPr>
        <w:fldChar w:fldCharType="end"/>
      </w:r>
      <w:r>
        <w:rPr>
          <w:rFonts w:hint="eastAsia" w:ascii="仿宋" w:hAnsi="仿宋" w:eastAsia="仿宋" w:cs="仿宋"/>
          <w:b/>
          <w:i w:val="0"/>
          <w:caps w:val="0"/>
          <w:color w:val="000000"/>
          <w:spacing w:val="0"/>
          <w:kern w:val="0"/>
          <w:sz w:val="28"/>
          <w:szCs w:val="28"/>
          <w:bdr w:val="none" w:color="auto" w:sz="0" w:space="0"/>
          <w:lang w:val="en-US" w:eastAsia="zh-CN" w:bidi="ar"/>
        </w:rPr>
        <w:t>及学院公众号：学术碎片</w:t>
      </w:r>
      <w:bookmarkStart w:id="1" w:name="_GoBack"/>
      <w:bookmarkEnd w:id="1"/>
      <w:r>
        <w:rPr>
          <w:rFonts w:hint="eastAsia" w:ascii="仿宋" w:hAnsi="仿宋" w:eastAsia="仿宋" w:cs="仿宋"/>
          <w:b/>
          <w:i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center"/>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drawing>
          <wp:inline distT="0" distB="0" distL="114300" distR="114300">
            <wp:extent cx="2695575" cy="27432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695575" cy="2743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八、复试需提供证件、证明材料和需带的物品，请参见”江西师范大学2019年硕士入学考试复试通知书”。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2"/>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九、申诉渠道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32"/>
          <w:szCs w:val="32"/>
          <w:bdr w:val="none" w:color="auto" w:sz="0" w:space="0"/>
          <w:lang w:val="en-US" w:eastAsia="zh-CN" w:bidi="ar"/>
        </w:rPr>
        <w:t>新闻与传播学院</w:t>
      </w:r>
      <w:r>
        <w:rPr>
          <w:rFonts w:hint="eastAsia" w:ascii="仿宋" w:hAnsi="仿宋" w:eastAsia="仿宋" w:cs="仿宋"/>
          <w:b w:val="0"/>
          <w:i w:val="0"/>
          <w:caps w:val="0"/>
          <w:color w:val="000000"/>
          <w:spacing w:val="0"/>
          <w:kern w:val="0"/>
          <w:sz w:val="28"/>
          <w:szCs w:val="28"/>
          <w:bdr w:val="none" w:color="auto" w:sz="0" w:space="0"/>
          <w:lang w:val="en-US" w:eastAsia="zh-CN" w:bidi="ar"/>
        </w:rPr>
        <w:t>：0791-88131651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校研招办：0791-88120608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kern w:val="0"/>
          <w:sz w:val="28"/>
          <w:szCs w:val="28"/>
          <w:bdr w:val="none" w:color="auto" w:sz="0" w:space="0"/>
          <w:lang w:val="en-US" w:eastAsia="zh-CN" w:bidi="ar"/>
        </w:rPr>
        <w:t>校纪委：0791-88120026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i w:val="0"/>
          <w:caps w:val="0"/>
          <w:color w:val="000000"/>
          <w:spacing w:val="0"/>
          <w:kern w:val="0"/>
          <w:sz w:val="28"/>
          <w:szCs w:val="28"/>
          <w:bdr w:val="none" w:color="auto" w:sz="0" w:space="0"/>
          <w:lang w:val="en-US" w:eastAsia="zh-CN" w:bidi="ar"/>
        </w:rPr>
        <w:t>十、本实施细则由</w:t>
      </w:r>
      <w:r>
        <w:rPr>
          <w:rFonts w:hint="eastAsia" w:ascii="仿宋" w:hAnsi="仿宋" w:eastAsia="仿宋" w:cs="仿宋"/>
          <w:b/>
          <w:i w:val="0"/>
          <w:caps w:val="0"/>
          <w:color w:val="000000"/>
          <w:spacing w:val="0"/>
          <w:kern w:val="0"/>
          <w:sz w:val="32"/>
          <w:szCs w:val="32"/>
          <w:bdr w:val="none" w:color="auto" w:sz="0" w:space="0"/>
          <w:lang w:val="en-US" w:eastAsia="zh-CN" w:bidi="ar"/>
        </w:rPr>
        <w:t>新闻与传播学院</w:t>
      </w:r>
      <w:r>
        <w:rPr>
          <w:rFonts w:hint="eastAsia" w:ascii="仿宋" w:hAnsi="仿宋" w:eastAsia="仿宋" w:cs="仿宋"/>
          <w:b/>
          <w:i w:val="0"/>
          <w:caps w:val="0"/>
          <w:color w:val="000000"/>
          <w:spacing w:val="0"/>
          <w:kern w:val="0"/>
          <w:sz w:val="28"/>
          <w:szCs w:val="28"/>
          <w:bdr w:val="none" w:color="auto" w:sz="0" w:space="0"/>
          <w:lang w:val="en-US" w:eastAsia="zh-CN" w:bidi="ar"/>
        </w:rPr>
        <w:t>复试与录取工作领导小组负责解释，未尽事宜由领导小组研究确定。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114235"/>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2019-04-24T08:45:31Z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