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>
        <w:rPr>
          <w:rFonts w:hint="eastAsia"/>
          <w:b/>
          <w:sz w:val="48"/>
          <w:szCs w:val="48"/>
        </w:rPr>
        <w:t>9</w:t>
      </w:r>
      <w:r>
        <w:rPr>
          <w:rFonts w:hint="eastAsia"/>
          <w:b/>
          <w:sz w:val="48"/>
          <w:szCs w:val="48"/>
        </w:rPr>
        <w:t>年中山大学</w:t>
      </w:r>
      <w:r>
        <w:rPr>
          <w:rFonts w:hint="eastAsia"/>
          <w:b/>
          <w:sz w:val="48"/>
          <w:szCs w:val="48"/>
          <w:u w:val="single"/>
        </w:rPr>
        <w:t>微生物与生化药学专业</w:t>
      </w:r>
      <w:r>
        <w:rPr>
          <w:rFonts w:hint="eastAsia"/>
          <w:b/>
          <w:sz w:val="48"/>
          <w:szCs w:val="48"/>
        </w:rPr>
        <w:t>考研复试指引</w:t>
      </w:r>
    </w:p>
    <w:p>
      <w:pPr>
        <w:pStyle w:val="style0"/>
        <w:numPr>
          <w:ilvl w:val="0"/>
          <w:numId w:val="1"/>
        </w:numPr>
        <w:ind w:right="-191" w:rightChars="-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>
      <w:pPr>
        <w:pStyle w:val="style0"/>
        <w:ind w:firstLine="560" w:firstLineChars="20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>
      <w:pPr>
        <w:pStyle w:val="style0"/>
        <w:ind w:right="-191" w:rightChars="-91"/>
        <w:rPr>
          <w:rFonts w:ascii="Times New Roman" w:hAnsi="Times New Roman"/>
          <w:color w:val="000000"/>
          <w:kern w:val="0"/>
          <w:sz w:val="28"/>
          <w:szCs w:val="28"/>
        </w:rPr>
      </w:pPr>
    </w:p>
    <w:p>
      <w:pPr>
        <w:pStyle w:val="style0"/>
        <w:ind w:left="-8" w:leftChars="-4" w:right="-191" w:rightChars="-91" w:firstLine="6" w:firstLineChars="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>
      <w:pPr>
        <w:pStyle w:val="style0"/>
        <w:ind w:left="-8" w:leftChars="-4" w:right="-191" w:rightChars="-91" w:firstLine="420" w:firstLineChars="15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</w:t>
      </w:r>
      <w:r>
        <w:rPr>
          <w:rFonts w:ascii="Times New Roman" w:eastAsia="楷体_GB2312" w:hAnsi="Times New Roman" w:hint="eastAsia"/>
          <w:sz w:val="28"/>
          <w:szCs w:val="28"/>
        </w:rPr>
        <w:t>（不指定参考书）</w:t>
      </w:r>
      <w:r>
        <w:rPr>
          <w:rFonts w:ascii="Times New Roman" w:eastAsia="楷体_GB2312" w:hAnsi="Times New Roman" w:hint="eastAsia"/>
          <w:sz w:val="28"/>
          <w:szCs w:val="28"/>
        </w:rPr>
        <w:t>：</w:t>
      </w:r>
      <w:r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9</w:t>
      </w:r>
      <w:r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18</w:t>
      </w:r>
      <w:r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下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午</w:t>
      </w:r>
      <w:r>
        <w:rPr>
          <w:rFonts w:ascii="Times New Roman" w:eastAsia="楷体_GB2312" w:hAnsi="Times New Roman"/>
          <w:sz w:val="28"/>
          <w:szCs w:val="28"/>
          <w:highlight w:val="yellow"/>
        </w:rPr>
        <w:t>14: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~</w:t>
      </w:r>
      <w:r>
        <w:rPr>
          <w:rFonts w:ascii="Times New Roman" w:eastAsia="楷体_GB2312" w:hAnsi="Times New Roman"/>
          <w:sz w:val="28"/>
          <w:szCs w:val="28"/>
          <w:highlight w:val="yellow"/>
        </w:rPr>
        <w:t>16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:3</w:t>
      </w:r>
      <w:r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>
      <w:pPr>
        <w:pStyle w:val="style0"/>
        <w:ind w:left="-8" w:leftChars="-4" w:right="-191" w:rightChars="-91" w:firstLine="6" w:firstLineChars="2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地点：学院统一安排</w:t>
      </w:r>
      <w:r>
        <w:rPr>
          <w:rFonts w:ascii="Times New Roman" w:eastAsia="楷体_GB2312" w:hAnsi="Times New Roman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>
        <w:rPr>
          <w:rFonts w:ascii="Times New Roman" w:eastAsia="楷体_GB2312" w:hAnsi="Times New Roman" w:hint="eastAsia"/>
          <w:sz w:val="28"/>
          <w:szCs w:val="28"/>
        </w:rPr>
        <w:t>B201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>
      <w:pPr>
        <w:pStyle w:val="style0"/>
        <w:ind w:left="-8" w:leftChars="-4" w:right="-191" w:rightChars="-91" w:firstLine="420" w:firstLineChars="15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英语面试及综合面试，</w:t>
      </w:r>
      <w:r>
        <w:rPr>
          <w:rFonts w:ascii="Times New Roman" w:eastAsia="楷体_GB2312" w:hAnsi="Times New Roman" w:hint="eastAsia"/>
          <w:sz w:val="28"/>
          <w:szCs w:val="28"/>
        </w:rPr>
        <w:t>按现场公布的顺序</w:t>
      </w:r>
      <w:r>
        <w:rPr>
          <w:rFonts w:ascii="Times New Roman" w:eastAsia="楷体_GB2312" w:hAnsi="Times New Roman" w:hint="eastAsia"/>
          <w:sz w:val="28"/>
          <w:szCs w:val="28"/>
        </w:rPr>
        <w:t>进行，</w:t>
      </w:r>
      <w:r>
        <w:rPr>
          <w:rFonts w:ascii="Times New Roman" w:eastAsia="楷体_GB2312" w:hAnsi="Times New Roman" w:hint="eastAsia"/>
          <w:sz w:val="28"/>
          <w:szCs w:val="28"/>
        </w:rPr>
        <w:t>10~15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人，</w:t>
      </w:r>
      <w:r>
        <w:rPr>
          <w:rFonts w:ascii="Times New Roman" w:eastAsia="楷体_GB2312" w:hAnsi="Times New Roman" w:hint="eastAsia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9</w:t>
      </w:r>
      <w:r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下午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14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: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0-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16: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。地点</w:t>
      </w:r>
      <w:r>
        <w:rPr>
          <w:rFonts w:ascii="Times New Roman" w:eastAsia="楷体_GB2312" w:hAnsi="Times New Roman" w:hint="eastAsia"/>
          <w:sz w:val="28"/>
          <w:szCs w:val="28"/>
        </w:rPr>
        <w:t>：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药学院大楼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520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会议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室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>
      <w:pPr>
        <w:pStyle w:val="style0"/>
        <w:ind w:left="-8" w:leftChars="-4" w:right="-191" w:rightChars="-91" w:firstLine="420" w:firstLineChars="15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>
        <w:rPr>
          <w:rFonts w:ascii="Times New Roman" w:eastAsia="楷体_GB2312" w:hAnsi="Times New Roman"/>
          <w:sz w:val="28"/>
          <w:szCs w:val="28"/>
        </w:rPr>
        <w:t>实验操作技能考试</w:t>
      </w:r>
      <w:r>
        <w:rPr>
          <w:rFonts w:ascii="Times New Roman" w:eastAsia="楷体_GB2312" w:hAnsi="Times New Roman" w:hint="eastAsia"/>
          <w:sz w:val="28"/>
          <w:szCs w:val="28"/>
        </w:rPr>
        <w:t>。现场抽取考题，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分钟内完成。</w:t>
      </w:r>
      <w:r>
        <w:rPr>
          <w:rFonts w:ascii="Times New Roman" w:eastAsia="楷体_GB2312" w:hAnsi="Times New Roman" w:hint="eastAsia"/>
          <w:sz w:val="28"/>
          <w:szCs w:val="28"/>
        </w:rPr>
        <w:t>时间：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201</w:t>
      </w:r>
      <w:r>
        <w:rPr>
          <w:rFonts w:ascii="Times New Roman" w:eastAsia="楷体_GB2312" w:hAnsi="Times New Roman" w:hint="eastAsia"/>
          <w:sz w:val="28"/>
          <w:szCs w:val="28"/>
          <w:highlight w:val="yellow"/>
          <w:lang w:eastAsia="zh-CN"/>
        </w:rPr>
        <w:t>9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年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20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日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下午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1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6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: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0-17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: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；地点：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药学院大楼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208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室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>
      <w:pPr>
        <w:pStyle w:val="style0"/>
        <w:ind w:left="-8" w:leftChars="-4" w:right="-191" w:rightChars="-91" w:firstLine="420" w:firstLineChars="15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在我们安排的考生等候区，请听从引导人员的指引，有序参加各项复试。考生在复试之后请自觉离开考场，期间禁止与其他仍未进行复试的考生进行沟通交流。请自觉关闭手机。</w:t>
      </w:r>
      <w:bookmarkStart w:id="0" w:name="_GoBack"/>
      <w:bookmarkEnd w:id="0"/>
    </w:p>
    <w:p>
      <w:pPr>
        <w:pStyle w:val="style0"/>
        <w:ind w:left="-8" w:leftChars="-4" w:right="-191" w:rightChars="-91" w:firstLine="420" w:firstLineChars="15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导师的个人简历可参考药学院网上资料。</w:t>
      </w:r>
      <w:r>
        <w:rPr>
          <w:rFonts w:ascii="Times New Roman" w:eastAsia="楷体_GB2312" w:hAnsi="Times New Roman" w:hint="eastAsia"/>
          <w:sz w:val="28"/>
          <w:szCs w:val="28"/>
        </w:rPr>
        <w:t>各位导师今年的名额分配表已通过学院网站发布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请</w:t>
      </w:r>
      <w:r>
        <w:rPr>
          <w:rFonts w:ascii="Times New Roman" w:eastAsia="楷体_GB2312" w:hAnsi="Times New Roman" w:hint="eastAsia"/>
          <w:sz w:val="28"/>
          <w:szCs w:val="28"/>
        </w:rPr>
        <w:t>考生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hint="eastAsia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下午</w:t>
      </w:r>
      <w:r>
        <w:rPr>
          <w:rFonts w:ascii="Times New Roman" w:eastAsia="楷体_GB2312" w:hAnsi="Times New Roman" w:hint="eastAsia"/>
          <w:sz w:val="28"/>
          <w:szCs w:val="28"/>
        </w:rPr>
        <w:t>面试时</w:t>
      </w:r>
      <w:r>
        <w:rPr>
          <w:rFonts w:ascii="Times New Roman" w:eastAsia="楷体_GB2312" w:hAnsi="Times New Roman" w:hint="eastAsia"/>
          <w:sz w:val="28"/>
          <w:szCs w:val="28"/>
        </w:rPr>
        <w:t>将填好的《报考导师志愿表》</w:t>
      </w:r>
      <w:r>
        <w:rPr>
          <w:rFonts w:ascii="Times New Roman" w:eastAsia="楷体_GB2312" w:hAnsi="Times New Roman" w:hint="eastAsia"/>
          <w:sz w:val="28"/>
          <w:szCs w:val="28"/>
        </w:rPr>
        <w:t>交给复试秘书。</w:t>
      </w:r>
    </w:p>
    <w:p>
      <w:pPr>
        <w:pStyle w:val="style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复试成绩公布</w:t>
      </w:r>
    </w:p>
    <w:p>
      <w:pPr>
        <w:pStyle w:val="style0"/>
        <w:ind w:left="-8" w:leftChars="-4" w:right="-191" w:rightChars="-91" w:firstLine="420" w:firstLineChars="150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201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9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年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3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月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2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1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日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上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午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1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0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:00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，</w:t>
      </w:r>
      <w:r>
        <w:rPr>
          <w:rFonts w:ascii="Times New Roman" w:cs="Times New Roman" w:eastAsia="楷体_GB2312" w:hAnsi="Times New Roman"/>
          <w:sz w:val="28"/>
          <w:szCs w:val="28"/>
        </w:rPr>
        <w:t>所有考生到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一</w:t>
      </w:r>
      <w:r>
        <w:rPr>
          <w:rFonts w:ascii="Times New Roman" w:cs="Times New Roman" w:eastAsia="楷体_GB2312" w:hAnsi="Times New Roman"/>
          <w:sz w:val="28"/>
          <w:szCs w:val="28"/>
          <w:highlight w:val="yellow"/>
        </w:rPr>
        <w:t>楼</w:t>
      </w:r>
      <w:r>
        <w:rPr>
          <w:rFonts w:ascii="Times New Roman" w:cs="Times New Roman" w:eastAsia="楷体_GB2312" w:hAnsi="Times New Roman" w:hint="eastAsia"/>
          <w:sz w:val="28"/>
          <w:szCs w:val="28"/>
          <w:highlight w:val="yellow"/>
        </w:rPr>
        <w:t>103</w:t>
      </w:r>
      <w:r>
        <w:rPr>
          <w:rFonts w:ascii="Times New Roman" w:eastAsia="楷体_GB2312" w:hAnsi="Times New Roman" w:hint="eastAsia"/>
          <w:sz w:val="28"/>
          <w:szCs w:val="28"/>
          <w:highlight w:val="yellow"/>
        </w:rPr>
        <w:t>咖啡厅</w:t>
      </w:r>
      <w:r>
        <w:rPr>
          <w:rFonts w:ascii="Times New Roman" w:cs="Times New Roman" w:eastAsia="楷体_GB2312" w:hAnsi="Times New Roman"/>
          <w:sz w:val="28"/>
          <w:szCs w:val="28"/>
        </w:rPr>
        <w:t>集中，公布录取结果，领取政审表和体检表等相关资料。</w:t>
      </w:r>
    </w:p>
    <w:p>
      <w:pPr>
        <w:pStyle w:val="style0"/>
        <w:ind w:left="-8" w:leftChars="-4" w:right="-191" w:rightChars="-91" w:firstLine="420" w:firstLineChars="150"/>
        <w:rPr>
          <w:rFonts w:ascii="Times New Roman" w:cs="Times New Roman" w:eastAsia="楷体_GB2312" w:hAnsi="Times New Roman"/>
          <w:sz w:val="28"/>
          <w:szCs w:val="28"/>
        </w:rPr>
      </w:pPr>
    </w:p>
    <w:p>
      <w:pPr>
        <w:pStyle w:val="style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复试秘书</w:t>
      </w:r>
    </w:p>
    <w:p>
      <w:pPr>
        <w:pStyle w:val="style0"/>
        <w:ind w:left="-8" w:leftChars="-4" w:right="-191" w:rightChars="-91" w:firstLine="422" w:firstLineChars="150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黎婕昕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老师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15099982325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），如有问题请联系。</w:t>
      </w:r>
    </w:p>
    <w:p>
      <w:pPr>
        <w:pStyle w:val="style0"/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附表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3"/>
        <w:gridCol w:w="1705"/>
        <w:gridCol w:w="1704"/>
        <w:gridCol w:w="1705"/>
      </w:tblGrid>
      <w:tr>
        <w:trPr/>
        <w:tc>
          <w:tcPr>
            <w:tcW w:w="1703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招收人数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</w:tr>
      <w:tr>
        <w:tblPrEx/>
        <w:trPr/>
        <w:tc>
          <w:tcPr>
            <w:tcW w:w="1703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万国辉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</w:tr>
      <w:tr>
        <w:tblPrEx/>
        <w:trPr/>
        <w:tc>
          <w:tcPr>
            <w:tcW w:w="1703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张革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</w:tr>
      <w:tr>
        <w:tblPrEx/>
        <w:trPr/>
        <w:tc>
          <w:tcPr>
            <w:tcW w:w="1703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王红胜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hint="eastAsia"/>
                <w:b/>
                <w:szCs w:val="21"/>
              </w:rPr>
            </w:pPr>
          </w:p>
        </w:tc>
      </w:tr>
    </w:tbl>
    <w:p>
      <w:pPr>
        <w:pStyle w:val="style0"/>
        <w:rPr>
          <w:b/>
          <w:szCs w:val="21"/>
        </w:rPr>
      </w:pPr>
    </w:p>
    <w:p>
      <w:pPr>
        <w:pStyle w:val="style0"/>
        <w:rPr>
          <w:b/>
          <w:szCs w:val="21"/>
        </w:rPr>
      </w:pPr>
    </w:p>
    <w:p>
      <w:pPr>
        <w:pStyle w:val="style0"/>
        <w:rPr>
          <w:b/>
          <w:szCs w:val="21"/>
        </w:rPr>
      </w:pPr>
    </w:p>
    <w:p>
      <w:pPr>
        <w:pStyle w:val="style0"/>
        <w:rPr>
          <w:b/>
          <w:szCs w:val="21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附表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：导师志愿表</w:t>
      </w:r>
    </w:p>
    <w:p>
      <w:pPr>
        <w:pStyle w:val="style0"/>
        <w:spacing w:lineRule="auto" w:line="360"/>
        <w:ind w:left="-8" w:leftChars="-4" w:right="-191" w:rightChars="-91" w:firstLine="5" w:firstLineChars="2"/>
        <w:rPr>
          <w:rFonts w:ascii="Times New Roman" w:hAnsi="Times New Roman"/>
          <w:sz w:val="24"/>
          <w:szCs w:val="24"/>
        </w:rPr>
      </w:pP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1998"/>
        <w:gridCol w:w="3885"/>
        <w:gridCol w:w="2639"/>
      </w:tblGrid>
      <w:tr>
        <w:trPr/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考试编号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报考导师姓名</w:t>
            </w:r>
          </w:p>
        </w:tc>
      </w:tr>
      <w:tr>
        <w:tblPrEx/>
        <w:trPr>
          <w:trHeight w:val="603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right="-191" w:rightChars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right="-191" w:rightChars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right="-191" w:rightChars="-9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szCs w:val="21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leader="none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leader="none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leader="none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leader="none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leader="none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leader="none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leader="none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leader="none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leader="none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584</Words>
  <Pages>3</Pages>
  <Characters>672</Characters>
  <Application>WPS Office</Application>
  <DocSecurity>0</DocSecurity>
  <Paragraphs>53</Paragraphs>
  <ScaleCrop>false</ScaleCrop>
  <LinksUpToDate>false</LinksUpToDate>
  <CharactersWithSpaces>673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2019-03-15T05:28:00Z</dcterms:created>
  <dc:creator>zbook15</dc:creator>
  <lastModifiedBy>ALP-AL00</lastModifiedBy>
  <dcterms:modified xsi:type="dcterms:W3CDTF">2019-03-15T13:37:41Z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