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524018553"/>
      <w:bookmarkStart w:id="1" w:name="_Toc430853286"/>
      <w:r>
        <w:rPr>
          <w:rFonts w:hint="eastAsia"/>
        </w:rPr>
        <w:t>软件学院</w:t>
      </w:r>
      <w:bookmarkEnd w:id="0"/>
      <w:bookmarkEnd w:id="1"/>
    </w:p>
    <w:p>
      <w:pPr>
        <w:adjustRightInd w:val="0"/>
        <w:snapToGrid w:val="0"/>
        <w:spacing w:line="336" w:lineRule="auto"/>
        <w:ind w:firstLine="420" w:firstLineChars="200"/>
        <w:rPr>
          <w:rFonts w:hint="eastAsia" w:ascii="华文中宋" w:hAnsi="华文中宋" w:eastAsia="华文中宋"/>
          <w:b/>
          <w:szCs w:val="21"/>
        </w:rPr>
      </w:pPr>
      <w:r>
        <w:rPr>
          <w:rFonts w:hint="eastAsia" w:ascii="华文中宋" w:hAnsi="华文中宋" w:eastAsia="华文中宋"/>
          <w:b/>
          <w:szCs w:val="21"/>
        </w:rPr>
        <w:t>一、学院概况</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华中科技大学软件学院是经教育部批准（教高[2001]6号文）的首批35所国家示范性软件学院之一。华中科技大学软件学院以需求为</w:t>
      </w:r>
      <w:r>
        <w:rPr>
          <w:rFonts w:hint="eastAsia" w:ascii="华文中宋" w:hAnsi="华文中宋" w:eastAsia="华文中宋"/>
          <w:szCs w:val="21"/>
        </w:rPr>
        <w:t>导向</w:t>
      </w:r>
      <w:r>
        <w:rPr>
          <w:rFonts w:ascii="华文中宋" w:hAnsi="华文中宋" w:eastAsia="华文中宋"/>
          <w:szCs w:val="21"/>
        </w:rPr>
        <w:t>，面向产业、面向领域；坚持国际合作、校企共建；坚持质量第一，素质与技术并重、基础与实践统一；</w:t>
      </w:r>
      <w:r>
        <w:rPr>
          <w:rFonts w:hint="eastAsia" w:ascii="华文中宋" w:hAnsi="华文中宋" w:eastAsia="华文中宋"/>
          <w:szCs w:val="21"/>
        </w:rPr>
        <w:t>实行</w:t>
      </w:r>
      <w:r>
        <w:rPr>
          <w:rFonts w:ascii="华文中宋" w:hAnsi="华文中宋" w:eastAsia="华文中宋"/>
          <w:szCs w:val="21"/>
        </w:rPr>
        <w:t>办学模式、管理体制、课程体系、教学内容和教学方法的改革和创新；秉承“厚基础、强能力、重实践、求创新”的办学理念；</w:t>
      </w:r>
      <w:r>
        <w:rPr>
          <w:rFonts w:hint="eastAsia" w:ascii="华文中宋" w:hAnsi="华文中宋" w:eastAsia="华文中宋"/>
          <w:szCs w:val="21"/>
        </w:rPr>
        <w:t>努力</w:t>
      </w:r>
      <w:r>
        <w:rPr>
          <w:rFonts w:ascii="华文中宋" w:hAnsi="华文中宋" w:eastAsia="华文中宋"/>
          <w:szCs w:val="21"/>
        </w:rPr>
        <w:t>做到人才培养与社会需求的无缝</w:t>
      </w:r>
      <w:r>
        <w:rPr>
          <w:rFonts w:hint="eastAsia" w:ascii="华文中宋" w:hAnsi="华文中宋" w:eastAsia="华文中宋"/>
          <w:szCs w:val="21"/>
        </w:rPr>
        <w:t>对接</w:t>
      </w:r>
      <w:r>
        <w:rPr>
          <w:rFonts w:ascii="华文中宋" w:hAnsi="华文中宋" w:eastAsia="华文中宋"/>
          <w:szCs w:val="21"/>
        </w:rPr>
        <w:t>，</w:t>
      </w:r>
      <w:r>
        <w:rPr>
          <w:rFonts w:hint="eastAsia" w:ascii="华文中宋" w:hAnsi="华文中宋" w:eastAsia="华文中宋"/>
          <w:szCs w:val="21"/>
        </w:rPr>
        <w:t>努力</w:t>
      </w:r>
      <w:r>
        <w:rPr>
          <w:rFonts w:ascii="华文中宋" w:hAnsi="华文中宋" w:eastAsia="华文中宋"/>
          <w:szCs w:val="21"/>
        </w:rPr>
        <w:t>成为培养高层次、复合型、国际化</w:t>
      </w:r>
      <w:r>
        <w:rPr>
          <w:rFonts w:hint="eastAsia" w:ascii="华文中宋" w:hAnsi="华文中宋" w:eastAsia="华文中宋"/>
          <w:szCs w:val="21"/>
        </w:rPr>
        <w:t>的</w:t>
      </w:r>
      <w:r>
        <w:rPr>
          <w:rFonts w:ascii="华文中宋" w:hAnsi="华文中宋" w:eastAsia="华文中宋"/>
          <w:szCs w:val="21"/>
        </w:rPr>
        <w:t>软件精英人才基地。</w:t>
      </w:r>
    </w:p>
    <w:p>
      <w:pPr>
        <w:pStyle w:val="9"/>
        <w:adjustRightInd w:val="0"/>
        <w:snapToGrid w:val="0"/>
        <w:spacing w:after="0" w:line="336" w:lineRule="auto"/>
        <w:ind w:left="0" w:leftChars="0" w:firstLine="420" w:firstLineChars="200"/>
        <w:rPr>
          <w:rFonts w:ascii="华文中宋" w:hAnsi="华文中宋" w:eastAsia="华文中宋"/>
          <w:szCs w:val="21"/>
        </w:rPr>
      </w:pPr>
      <w:r>
        <w:rPr>
          <w:rFonts w:ascii="华文中宋" w:hAnsi="华文中宋" w:eastAsia="华文中宋"/>
          <w:szCs w:val="21"/>
        </w:rPr>
        <w:t>软件学院具有</w:t>
      </w:r>
      <w:r>
        <w:rPr>
          <w:rFonts w:hint="eastAsia" w:ascii="华文中宋" w:hAnsi="华文中宋" w:eastAsia="华文中宋"/>
          <w:szCs w:val="21"/>
        </w:rPr>
        <w:t>计算机软件与理论二级学术学位点和软件工程专业学位点。</w:t>
      </w:r>
      <w:r>
        <w:rPr>
          <w:rFonts w:ascii="华文中宋" w:hAnsi="华文中宋" w:eastAsia="华文中宋"/>
          <w:szCs w:val="21"/>
        </w:rPr>
        <w:t>同时</w:t>
      </w:r>
      <w:r>
        <w:rPr>
          <w:rFonts w:hint="eastAsia" w:ascii="华文中宋" w:hAnsi="华文中宋" w:eastAsia="华文中宋"/>
          <w:szCs w:val="21"/>
        </w:rPr>
        <w:t>拥有</w:t>
      </w:r>
      <w:r>
        <w:rPr>
          <w:rFonts w:ascii="华文中宋" w:hAnsi="华文中宋" w:eastAsia="华文中宋"/>
          <w:szCs w:val="21"/>
        </w:rPr>
        <w:t>本科教育“国家级特色专业建设点”和研究生教育“特色工程</w:t>
      </w:r>
      <w:r>
        <w:rPr>
          <w:rFonts w:hint="eastAsia" w:ascii="华文中宋" w:hAnsi="华文中宋" w:eastAsia="华文中宋"/>
          <w:szCs w:val="21"/>
        </w:rPr>
        <w:t>专业学位点</w:t>
      </w:r>
      <w:r>
        <w:rPr>
          <w:rFonts w:ascii="华文中宋" w:hAnsi="华文中宋" w:eastAsia="华文中宋"/>
          <w:szCs w:val="21"/>
        </w:rPr>
        <w:t>”。</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软件学院</w:t>
      </w:r>
      <w:r>
        <w:rPr>
          <w:rFonts w:hint="eastAsia" w:ascii="华文中宋" w:hAnsi="华文中宋" w:eastAsia="华文中宋"/>
          <w:szCs w:val="21"/>
        </w:rPr>
        <w:t>长期与</w:t>
      </w:r>
      <w:r>
        <w:rPr>
          <w:rFonts w:ascii="华文中宋" w:hAnsi="华文中宋" w:eastAsia="华文中宋"/>
          <w:szCs w:val="21"/>
        </w:rPr>
        <w:t>国际一流IT企业合作，共建有5个联合实验室：日本三菱控制软件联合实验室、新加坡横河－蓝筹联合实验室、SIEMENS移动实时计算联合实验室、INTEL嵌入式系统联合实验室</w:t>
      </w:r>
      <w:r>
        <w:rPr>
          <w:rFonts w:hint="eastAsia" w:ascii="华文中宋" w:hAnsi="华文中宋" w:eastAsia="华文中宋"/>
          <w:szCs w:val="21"/>
        </w:rPr>
        <w:t>和</w:t>
      </w:r>
      <w:r>
        <w:rPr>
          <w:rFonts w:ascii="华文中宋" w:hAnsi="华文中宋" w:eastAsia="华文中宋"/>
          <w:szCs w:val="21"/>
        </w:rPr>
        <w:t>微软创新与实训基地。</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学院现有在编专职教师25人，其中教授</w:t>
      </w:r>
      <w:r>
        <w:rPr>
          <w:rFonts w:hint="eastAsia" w:ascii="华文中宋" w:hAnsi="华文中宋" w:eastAsia="华文中宋"/>
          <w:szCs w:val="21"/>
        </w:rPr>
        <w:t>8</w:t>
      </w:r>
      <w:r>
        <w:rPr>
          <w:rFonts w:ascii="华文中宋" w:hAnsi="华文中宋" w:eastAsia="华文中宋"/>
          <w:szCs w:val="21"/>
        </w:rPr>
        <w:t>人，副教授14人</w:t>
      </w:r>
      <w:r>
        <w:rPr>
          <w:rFonts w:hint="eastAsia" w:ascii="华文中宋" w:hAnsi="华文中宋" w:eastAsia="华文中宋"/>
          <w:szCs w:val="21"/>
        </w:rPr>
        <w:t>，</w:t>
      </w:r>
      <w:r>
        <w:rPr>
          <w:rFonts w:ascii="华文中宋" w:hAnsi="华文中宋" w:eastAsia="华文中宋"/>
          <w:szCs w:val="21"/>
        </w:rPr>
        <w:t>具有博士学位的教师比例超过了9</w:t>
      </w:r>
      <w:r>
        <w:rPr>
          <w:rFonts w:hint="eastAsia" w:ascii="华文中宋" w:hAnsi="华文中宋" w:eastAsia="华文中宋"/>
          <w:szCs w:val="21"/>
        </w:rPr>
        <w:t>5</w:t>
      </w:r>
      <w:r>
        <w:rPr>
          <w:rFonts w:ascii="华文中宋" w:hAnsi="华文中宋" w:eastAsia="华文中宋"/>
          <w:szCs w:val="21"/>
        </w:rPr>
        <w:t>％，</w:t>
      </w:r>
      <w:r>
        <w:rPr>
          <w:rFonts w:hint="eastAsia" w:ascii="华文中宋" w:hAnsi="华文中宋" w:eastAsia="华文中宋"/>
          <w:szCs w:val="21"/>
        </w:rPr>
        <w:t>多数</w:t>
      </w:r>
      <w:r>
        <w:rPr>
          <w:rFonts w:ascii="华文中宋" w:hAnsi="华文中宋" w:eastAsia="华文中宋"/>
          <w:szCs w:val="21"/>
        </w:rPr>
        <w:t>教师具有多年从事软件工程工作的经验；</w:t>
      </w:r>
      <w:r>
        <w:rPr>
          <w:rFonts w:hint="eastAsia" w:ascii="华文中宋" w:hAnsi="华文中宋" w:eastAsia="华文中宋"/>
          <w:szCs w:val="21"/>
        </w:rPr>
        <w:t>近年来</w:t>
      </w:r>
      <w:r>
        <w:rPr>
          <w:rFonts w:ascii="华文中宋" w:hAnsi="华文中宋" w:eastAsia="华文中宋"/>
          <w:szCs w:val="21"/>
        </w:rPr>
        <w:t>聘请国外教师</w:t>
      </w:r>
      <w:r>
        <w:rPr>
          <w:rFonts w:hint="eastAsia" w:ascii="华文中宋" w:hAnsi="华文中宋" w:eastAsia="华文中宋"/>
          <w:szCs w:val="21"/>
        </w:rPr>
        <w:t>50余</w:t>
      </w:r>
      <w:r>
        <w:rPr>
          <w:rFonts w:ascii="华文中宋" w:hAnsi="华文中宋" w:eastAsia="华文中宋"/>
          <w:szCs w:val="21"/>
        </w:rPr>
        <w:t>人</w:t>
      </w:r>
      <w:r>
        <w:rPr>
          <w:rFonts w:hint="eastAsia" w:ascii="华文中宋" w:hAnsi="华文中宋" w:eastAsia="华文中宋"/>
          <w:szCs w:val="21"/>
        </w:rPr>
        <w:t>次</w:t>
      </w:r>
      <w:r>
        <w:rPr>
          <w:rFonts w:ascii="华文中宋" w:hAnsi="华文中宋" w:eastAsia="华文中宋"/>
          <w:szCs w:val="21"/>
        </w:rPr>
        <w:t>，其中聘期一年以上的教师9人，他们主要</w:t>
      </w:r>
      <w:r>
        <w:rPr>
          <w:rFonts w:hint="eastAsia" w:ascii="华文中宋" w:hAnsi="华文中宋" w:eastAsia="华文中宋"/>
          <w:szCs w:val="21"/>
        </w:rPr>
        <w:t>教授</w:t>
      </w:r>
      <w:r>
        <w:rPr>
          <w:rFonts w:ascii="华文中宋" w:hAnsi="华文中宋" w:eastAsia="华文中宋"/>
          <w:szCs w:val="21"/>
        </w:rPr>
        <w:t>专业课程和</w:t>
      </w:r>
      <w:r>
        <w:rPr>
          <w:rFonts w:hint="eastAsia" w:ascii="华文中宋" w:hAnsi="华文中宋" w:eastAsia="华文中宋"/>
          <w:szCs w:val="21"/>
        </w:rPr>
        <w:t>语言课程</w:t>
      </w:r>
      <w:r>
        <w:rPr>
          <w:rFonts w:ascii="华文中宋" w:hAnsi="华文中宋" w:eastAsia="华文中宋"/>
          <w:szCs w:val="21"/>
        </w:rPr>
        <w:t>；聘请IT公司的兼职教师</w:t>
      </w:r>
      <w:r>
        <w:rPr>
          <w:rFonts w:hint="eastAsia" w:ascii="华文中宋" w:hAnsi="华文中宋" w:eastAsia="华文中宋"/>
          <w:szCs w:val="21"/>
        </w:rPr>
        <w:t>4</w:t>
      </w:r>
      <w:r>
        <w:rPr>
          <w:rFonts w:ascii="华文中宋" w:hAnsi="华文中宋" w:eastAsia="华文中宋"/>
          <w:szCs w:val="21"/>
        </w:rPr>
        <w:t>0</w:t>
      </w:r>
      <w:r>
        <w:rPr>
          <w:rFonts w:hint="eastAsia" w:ascii="华文中宋" w:hAnsi="华文中宋" w:eastAsia="华文中宋"/>
          <w:szCs w:val="21"/>
        </w:rPr>
        <w:t>余</w:t>
      </w:r>
      <w:r>
        <w:rPr>
          <w:rFonts w:ascii="华文中宋" w:hAnsi="华文中宋" w:eastAsia="华文中宋"/>
          <w:szCs w:val="21"/>
        </w:rPr>
        <w:t>人，他们都具有长期从事大型软件项目开发和项目管理的实际经验。</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近几年来，学院承担各类科研项目60余项，其中包括863计划项目、国家自然科学基金项目、</w:t>
      </w:r>
      <w:r>
        <w:rPr>
          <w:rFonts w:hint="eastAsia" w:ascii="华文中宋" w:hAnsi="华文中宋" w:eastAsia="华文中宋"/>
          <w:szCs w:val="21"/>
        </w:rPr>
        <w:t>国防预研重点项目、</w:t>
      </w:r>
      <w:r>
        <w:rPr>
          <w:rFonts w:ascii="华文中宋" w:hAnsi="华文中宋" w:eastAsia="华文中宋"/>
          <w:szCs w:val="21"/>
        </w:rPr>
        <w:t>国家教育部金教工程项目、国家重大专项项目、教育部教学改革项目、国家外国专家局专项等国家级项目，以及大型横向开发项目。获得省部级奖6项，获得国家发明专利20余项，发表学术论文1300余篇，其中200余篇被SCI、EI、ISTP三大索引收录。</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学院</w:t>
      </w:r>
      <w:r>
        <w:rPr>
          <w:rFonts w:hint="eastAsia" w:ascii="华文中宋" w:hAnsi="华文中宋" w:eastAsia="华文中宋"/>
          <w:szCs w:val="21"/>
        </w:rPr>
        <w:t>十分</w:t>
      </w:r>
      <w:r>
        <w:rPr>
          <w:rFonts w:ascii="华文中宋" w:hAnsi="华文中宋" w:eastAsia="华文中宋"/>
          <w:szCs w:val="21"/>
        </w:rPr>
        <w:t>重视学生创新实践活动，鼓励学生勇于创新和参与工程实践，学院每年拿出相当数量的经费支持学生创新创业活动</w:t>
      </w:r>
      <w:r>
        <w:rPr>
          <w:rFonts w:hint="eastAsia" w:ascii="华文中宋" w:hAnsi="华文中宋" w:eastAsia="华文中宋"/>
          <w:szCs w:val="21"/>
        </w:rPr>
        <w:t>；近年来，我院</w:t>
      </w:r>
      <w:r>
        <w:rPr>
          <w:rFonts w:ascii="华文中宋" w:hAnsi="华文中宋" w:eastAsia="华文中宋"/>
          <w:szCs w:val="21"/>
        </w:rPr>
        <w:t>学生在国际国内各项大赛中获奖</w:t>
      </w:r>
      <w:r>
        <w:rPr>
          <w:rFonts w:hint="eastAsia" w:ascii="华文中宋" w:hAnsi="华文中宋" w:eastAsia="华文中宋"/>
          <w:szCs w:val="21"/>
        </w:rPr>
        <w:t>10</w:t>
      </w:r>
      <w:r>
        <w:rPr>
          <w:rFonts w:ascii="华文中宋" w:hAnsi="华文中宋" w:eastAsia="华文中宋"/>
          <w:szCs w:val="21"/>
        </w:rPr>
        <w:t>0</w:t>
      </w:r>
      <w:r>
        <w:rPr>
          <w:rFonts w:hint="eastAsia" w:ascii="华文中宋" w:hAnsi="华文中宋" w:eastAsia="华文中宋"/>
          <w:szCs w:val="21"/>
        </w:rPr>
        <w:t>余</w:t>
      </w:r>
      <w:r>
        <w:rPr>
          <w:rFonts w:ascii="华文中宋" w:hAnsi="华文中宋" w:eastAsia="华文中宋"/>
          <w:szCs w:val="21"/>
        </w:rPr>
        <w:t>人次，学生创办的公司有</w:t>
      </w:r>
      <w:r>
        <w:rPr>
          <w:rFonts w:hint="eastAsia" w:ascii="华文中宋" w:hAnsi="华文中宋" w:eastAsia="华文中宋"/>
          <w:szCs w:val="21"/>
        </w:rPr>
        <w:t>多</w:t>
      </w:r>
      <w:r>
        <w:rPr>
          <w:rFonts w:ascii="华文中宋" w:hAnsi="华文中宋" w:eastAsia="华文中宋"/>
          <w:szCs w:val="21"/>
        </w:rPr>
        <w:t>家获得风险</w:t>
      </w:r>
      <w:r>
        <w:rPr>
          <w:rFonts w:hint="eastAsia" w:ascii="华文中宋" w:hAnsi="华文中宋" w:eastAsia="华文中宋"/>
          <w:szCs w:val="21"/>
        </w:rPr>
        <w:t>投资</w:t>
      </w:r>
      <w:r>
        <w:rPr>
          <w:rFonts w:ascii="华文中宋" w:hAnsi="华文中宋" w:eastAsia="华文中宋"/>
          <w:szCs w:val="21"/>
        </w:rPr>
        <w:t>，</w:t>
      </w:r>
      <w:r>
        <w:rPr>
          <w:rFonts w:hint="eastAsia" w:ascii="华文中宋" w:hAnsi="华文中宋" w:eastAsia="华文中宋"/>
          <w:szCs w:val="21"/>
        </w:rPr>
        <w:t>并有1人入选2015年福布斯中国30位30岁以下创业者榜单。</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软件学院办学十</w:t>
      </w:r>
      <w:r>
        <w:rPr>
          <w:rFonts w:hint="eastAsia" w:ascii="华文中宋" w:hAnsi="华文中宋" w:eastAsia="华文中宋"/>
          <w:szCs w:val="21"/>
        </w:rPr>
        <w:t>多</w:t>
      </w:r>
      <w:r>
        <w:rPr>
          <w:rFonts w:ascii="华文中宋" w:hAnsi="华文中宋" w:eastAsia="华文中宋"/>
          <w:szCs w:val="21"/>
        </w:rPr>
        <w:t>年来成绩显著，办学模式和教学方式的改革特色鲜明，教师资源全球化，学生出口国际化，软件学院的学生现已成为我国IT行业特别是软件行业的一支生力军，得到了社会广泛认同和高度评价。</w:t>
      </w:r>
    </w:p>
    <w:p>
      <w:pPr>
        <w:adjustRightInd w:val="0"/>
        <w:snapToGrid w:val="0"/>
        <w:spacing w:line="336" w:lineRule="auto"/>
        <w:ind w:firstLine="420" w:firstLineChars="200"/>
        <w:rPr>
          <w:rFonts w:ascii="华文中宋" w:hAnsi="华文中宋" w:eastAsia="华文中宋"/>
          <w:b/>
          <w:szCs w:val="21"/>
        </w:rPr>
      </w:pPr>
      <w:r>
        <w:rPr>
          <w:rFonts w:hint="eastAsia" w:ascii="华文中宋" w:hAnsi="华文中宋" w:eastAsia="华文中宋"/>
          <w:b/>
          <w:szCs w:val="21"/>
        </w:rPr>
        <w:t>二、培养目标</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计算机软件与理论学术型硕士研究生：</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学生热爱祖国，拥护中国共产党的领导，遵纪守法，品德高尚。掌握坚实的计算机软件与理论的基础理论和系统的专门知识，了解学科的发展现状、趋势及研究前沿，较为熟练地掌握一门外国语；具有严谨求实的科学态度和作风，能够运用计算机软件与理论的方法、技术与工具从事该领域的基础研究、应用基础研究、应用研究、关键技术创新及系统的设计、开发与管理工作，具有从事本学科和相关学科领域的科学研究或独立担负专门技术工作的能力。</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软件工程专业型硕士研究生：学生热爱祖国，拥护中国共产党的领导，遵纪守法，品德高尚。</w:t>
      </w:r>
      <w:r>
        <w:rPr>
          <w:rFonts w:ascii="华文中宋" w:hAnsi="华文中宋" w:eastAsia="华文中宋"/>
          <w:szCs w:val="21"/>
        </w:rPr>
        <w:t>掌握</w:t>
      </w:r>
      <w:r>
        <w:rPr>
          <w:rFonts w:hint="eastAsia" w:ascii="华文中宋" w:hAnsi="华文中宋" w:eastAsia="华文中宋"/>
          <w:szCs w:val="21"/>
        </w:rPr>
        <w:t>软件工程</w:t>
      </w:r>
      <w:r>
        <w:rPr>
          <w:rFonts w:ascii="华文中宋" w:hAnsi="华文中宋" w:eastAsia="华文中宋"/>
          <w:szCs w:val="21"/>
        </w:rPr>
        <w:t>领域坚实的基础知识和系统的专门知识。掌握</w:t>
      </w:r>
      <w:r>
        <w:rPr>
          <w:rFonts w:hint="eastAsia" w:ascii="华文中宋" w:hAnsi="华文中宋" w:eastAsia="华文中宋"/>
          <w:szCs w:val="21"/>
        </w:rPr>
        <w:t>软件工程</w:t>
      </w:r>
      <w:r>
        <w:rPr>
          <w:rFonts w:ascii="华文中宋" w:hAnsi="华文中宋" w:eastAsia="华文中宋"/>
          <w:szCs w:val="21"/>
        </w:rPr>
        <w:t>领域的基本研究方法与技能，具备一定的研究实际问题的能力，并具有较强的</w:t>
      </w:r>
      <w:r>
        <w:rPr>
          <w:rFonts w:hint="eastAsia" w:ascii="华文中宋" w:hAnsi="华文中宋" w:eastAsia="华文中宋"/>
          <w:szCs w:val="21"/>
        </w:rPr>
        <w:t>软件</w:t>
      </w:r>
      <w:r>
        <w:rPr>
          <w:rFonts w:ascii="华文中宋" w:hAnsi="华文中宋" w:eastAsia="华文中宋"/>
          <w:szCs w:val="21"/>
        </w:rPr>
        <w:t>系统分析、设计及实现能力</w:t>
      </w:r>
      <w:r>
        <w:rPr>
          <w:rFonts w:hint="eastAsia" w:ascii="华文中宋" w:hAnsi="华文中宋" w:eastAsia="华文中宋"/>
          <w:szCs w:val="21"/>
        </w:rPr>
        <w:t>。较为熟练地掌握一门外国语，</w:t>
      </w:r>
      <w:r>
        <w:rPr>
          <w:rFonts w:ascii="华文中宋" w:hAnsi="华文中宋" w:eastAsia="华文中宋"/>
          <w:szCs w:val="21"/>
        </w:rPr>
        <w:t>可</w:t>
      </w:r>
      <w:r>
        <w:rPr>
          <w:rFonts w:hint="eastAsia" w:ascii="华文中宋" w:hAnsi="华文中宋" w:eastAsia="华文中宋"/>
          <w:szCs w:val="21"/>
        </w:rPr>
        <w:t>胜任软件工程</w:t>
      </w:r>
      <w:r>
        <w:rPr>
          <w:rFonts w:ascii="华文中宋" w:hAnsi="华文中宋" w:eastAsia="华文中宋"/>
          <w:szCs w:val="21"/>
        </w:rPr>
        <w:t>领域的相关工作。</w:t>
      </w:r>
    </w:p>
    <w:p>
      <w:pPr>
        <w:adjustRightInd w:val="0"/>
        <w:snapToGrid w:val="0"/>
        <w:spacing w:line="336" w:lineRule="auto"/>
        <w:ind w:firstLine="420" w:firstLineChars="200"/>
        <w:rPr>
          <w:rFonts w:hint="eastAsia" w:ascii="华文中宋" w:hAnsi="华文中宋" w:eastAsia="华文中宋"/>
          <w:b/>
          <w:szCs w:val="21"/>
        </w:rPr>
      </w:pPr>
      <w:r>
        <w:rPr>
          <w:rFonts w:hint="eastAsia" w:ascii="华文中宋" w:hAnsi="华文中宋" w:eastAsia="华文中宋"/>
          <w:b/>
          <w:szCs w:val="21"/>
        </w:rPr>
        <w:t>三、培养方向</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学术型硕士：</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1．人工智能</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2．大数据挖掘与分析</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3．软件服务</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专业型硕士：</w:t>
      </w:r>
    </w:p>
    <w:p>
      <w:pPr>
        <w:numPr>
          <w:ilvl w:val="0"/>
          <w:numId w:val="1"/>
        </w:numPr>
        <w:tabs>
          <w:tab w:val="left" w:pos="686"/>
          <w:tab w:val="clear" w:pos="900"/>
        </w:tabs>
        <w:adjustRightInd w:val="0"/>
        <w:snapToGrid w:val="0"/>
        <w:spacing w:line="336" w:lineRule="auto"/>
        <w:ind w:left="0" w:firstLine="420" w:firstLineChars="200"/>
        <w:rPr>
          <w:rFonts w:ascii="华文中宋" w:hAnsi="华文中宋" w:eastAsia="华文中宋"/>
          <w:szCs w:val="21"/>
        </w:rPr>
      </w:pPr>
      <w:r>
        <w:rPr>
          <w:rFonts w:ascii="华文中宋" w:hAnsi="华文中宋" w:eastAsia="华文中宋"/>
          <w:szCs w:val="21"/>
        </w:rPr>
        <w:t>软件工程理论与方法；</w:t>
      </w:r>
    </w:p>
    <w:p>
      <w:pPr>
        <w:numPr>
          <w:ilvl w:val="0"/>
          <w:numId w:val="1"/>
        </w:numPr>
        <w:tabs>
          <w:tab w:val="left" w:pos="686"/>
          <w:tab w:val="clear" w:pos="900"/>
        </w:tabs>
        <w:adjustRightInd w:val="0"/>
        <w:snapToGrid w:val="0"/>
        <w:spacing w:line="336" w:lineRule="auto"/>
        <w:ind w:left="0" w:firstLine="420" w:firstLineChars="200"/>
        <w:rPr>
          <w:rFonts w:ascii="华文中宋" w:hAnsi="华文中宋" w:eastAsia="华文中宋"/>
          <w:szCs w:val="21"/>
        </w:rPr>
      </w:pPr>
      <w:r>
        <w:rPr>
          <w:rFonts w:ascii="华文中宋" w:hAnsi="华文中宋" w:eastAsia="华文中宋"/>
          <w:szCs w:val="21"/>
        </w:rPr>
        <w:t>软件质量工程</w:t>
      </w:r>
      <w:r>
        <w:rPr>
          <w:rFonts w:hint="eastAsia" w:ascii="华文中宋" w:hAnsi="华文中宋" w:eastAsia="华文中宋"/>
          <w:szCs w:val="21"/>
        </w:rPr>
        <w:t>与技术</w:t>
      </w:r>
      <w:r>
        <w:rPr>
          <w:rFonts w:ascii="华文中宋" w:hAnsi="华文中宋" w:eastAsia="华文中宋"/>
          <w:szCs w:val="21"/>
        </w:rPr>
        <w:t>；</w:t>
      </w:r>
    </w:p>
    <w:p>
      <w:pPr>
        <w:numPr>
          <w:ilvl w:val="0"/>
          <w:numId w:val="1"/>
        </w:numPr>
        <w:tabs>
          <w:tab w:val="left" w:pos="686"/>
          <w:tab w:val="clear" w:pos="900"/>
        </w:tabs>
        <w:adjustRightInd w:val="0"/>
        <w:snapToGrid w:val="0"/>
        <w:spacing w:line="336" w:lineRule="auto"/>
        <w:ind w:left="0" w:firstLine="420" w:firstLineChars="200"/>
        <w:rPr>
          <w:rFonts w:hint="eastAsia" w:ascii="华文中宋" w:hAnsi="华文中宋" w:eastAsia="华文中宋"/>
          <w:szCs w:val="21"/>
        </w:rPr>
      </w:pPr>
      <w:r>
        <w:rPr>
          <w:rFonts w:hint="eastAsia" w:ascii="华文中宋" w:hAnsi="华文中宋" w:eastAsia="华文中宋"/>
          <w:szCs w:val="21"/>
        </w:rPr>
        <w:t>现代数据工程</w:t>
      </w:r>
      <w:r>
        <w:rPr>
          <w:rFonts w:ascii="华文中宋" w:hAnsi="华文中宋" w:eastAsia="华文中宋"/>
          <w:szCs w:val="21"/>
        </w:rPr>
        <w:t>；</w:t>
      </w:r>
    </w:p>
    <w:p>
      <w:pPr>
        <w:numPr>
          <w:ilvl w:val="0"/>
          <w:numId w:val="1"/>
        </w:numPr>
        <w:tabs>
          <w:tab w:val="left" w:pos="686"/>
          <w:tab w:val="clear" w:pos="900"/>
        </w:tabs>
        <w:adjustRightInd w:val="0"/>
        <w:snapToGrid w:val="0"/>
        <w:spacing w:line="336" w:lineRule="auto"/>
        <w:ind w:left="0" w:firstLine="420" w:firstLineChars="200"/>
        <w:rPr>
          <w:rFonts w:hint="eastAsia" w:ascii="华文中宋" w:hAnsi="华文中宋" w:eastAsia="华文中宋"/>
          <w:szCs w:val="21"/>
        </w:rPr>
      </w:pPr>
      <w:r>
        <w:rPr>
          <w:rFonts w:hint="eastAsia" w:ascii="华文中宋" w:hAnsi="华文中宋" w:eastAsia="华文中宋"/>
          <w:szCs w:val="21"/>
        </w:rPr>
        <w:t xml:space="preserve">智能计算技术与应用； </w:t>
      </w:r>
    </w:p>
    <w:p>
      <w:pPr>
        <w:numPr>
          <w:ilvl w:val="0"/>
          <w:numId w:val="1"/>
        </w:numPr>
        <w:tabs>
          <w:tab w:val="left" w:pos="686"/>
          <w:tab w:val="clear" w:pos="900"/>
        </w:tabs>
        <w:adjustRightInd w:val="0"/>
        <w:snapToGrid w:val="0"/>
        <w:spacing w:line="336" w:lineRule="auto"/>
        <w:ind w:left="0" w:firstLine="420" w:firstLineChars="200"/>
        <w:rPr>
          <w:rFonts w:ascii="华文中宋" w:hAnsi="华文中宋" w:eastAsia="华文中宋"/>
          <w:szCs w:val="21"/>
        </w:rPr>
      </w:pPr>
      <w:r>
        <w:rPr>
          <w:rFonts w:hint="eastAsia" w:ascii="华文中宋" w:hAnsi="华文中宋" w:eastAsia="华文中宋"/>
          <w:szCs w:val="21"/>
        </w:rPr>
        <w:t>数字媒体技术；</w:t>
      </w:r>
    </w:p>
    <w:p>
      <w:pPr>
        <w:numPr>
          <w:ilvl w:val="0"/>
          <w:numId w:val="1"/>
        </w:numPr>
        <w:tabs>
          <w:tab w:val="left" w:pos="686"/>
          <w:tab w:val="clear" w:pos="900"/>
        </w:tabs>
        <w:adjustRightInd w:val="0"/>
        <w:snapToGrid w:val="0"/>
        <w:spacing w:line="336" w:lineRule="auto"/>
        <w:ind w:left="0" w:firstLine="420" w:firstLineChars="200"/>
        <w:rPr>
          <w:rFonts w:hint="eastAsia" w:ascii="华文中宋" w:hAnsi="华文中宋" w:eastAsia="华文中宋"/>
          <w:szCs w:val="21"/>
        </w:rPr>
      </w:pPr>
      <w:r>
        <w:rPr>
          <w:rFonts w:ascii="华文中宋" w:hAnsi="华文中宋" w:eastAsia="华文中宋"/>
          <w:szCs w:val="21"/>
        </w:rPr>
        <w:t>网络与信息安全技术；</w:t>
      </w:r>
    </w:p>
    <w:p>
      <w:pPr>
        <w:numPr>
          <w:ilvl w:val="0"/>
          <w:numId w:val="1"/>
        </w:numPr>
        <w:tabs>
          <w:tab w:val="left" w:pos="686"/>
          <w:tab w:val="clear" w:pos="900"/>
        </w:tabs>
        <w:adjustRightInd w:val="0"/>
        <w:snapToGrid w:val="0"/>
        <w:spacing w:line="336" w:lineRule="auto"/>
        <w:ind w:left="0" w:firstLine="420" w:firstLineChars="200"/>
        <w:rPr>
          <w:rFonts w:ascii="华文中宋" w:hAnsi="华文中宋" w:eastAsia="华文中宋"/>
          <w:szCs w:val="21"/>
        </w:rPr>
      </w:pPr>
      <w:r>
        <w:rPr>
          <w:rFonts w:ascii="华文中宋" w:hAnsi="华文中宋" w:eastAsia="华文中宋"/>
          <w:szCs w:val="21"/>
        </w:rPr>
        <w:t>嵌入式系统与应用；</w:t>
      </w:r>
    </w:p>
    <w:p>
      <w:pPr>
        <w:numPr>
          <w:ilvl w:val="0"/>
          <w:numId w:val="1"/>
        </w:numPr>
        <w:tabs>
          <w:tab w:val="left" w:pos="686"/>
          <w:tab w:val="clear" w:pos="900"/>
        </w:tabs>
        <w:adjustRightInd w:val="0"/>
        <w:snapToGrid w:val="0"/>
        <w:spacing w:line="336" w:lineRule="auto"/>
        <w:ind w:left="0" w:firstLine="420" w:firstLineChars="200"/>
        <w:rPr>
          <w:rFonts w:ascii="华文中宋" w:hAnsi="华文中宋" w:eastAsia="华文中宋"/>
          <w:szCs w:val="21"/>
        </w:rPr>
      </w:pPr>
      <w:r>
        <w:rPr>
          <w:rFonts w:ascii="华文中宋" w:hAnsi="华文中宋" w:eastAsia="华文中宋"/>
          <w:szCs w:val="21"/>
        </w:rPr>
        <w:t>数字化技术与领域工程</w:t>
      </w:r>
      <w:r>
        <w:rPr>
          <w:rFonts w:hint="eastAsia" w:ascii="华文中宋" w:hAnsi="华文中宋" w:eastAsia="华文中宋"/>
          <w:szCs w:val="21"/>
        </w:rPr>
        <w:t>。</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培养方向主要根据人才市场和工程实践基地需求以及导师科研情况动态设置；学生可根据自身的专业背景、个人兴趣爱好，在导师指导下，侧重某一方向或多方向选修课程和进行研发工作。</w:t>
      </w:r>
    </w:p>
    <w:p>
      <w:pPr>
        <w:adjustRightInd w:val="0"/>
        <w:snapToGrid w:val="0"/>
        <w:spacing w:line="336" w:lineRule="auto"/>
        <w:ind w:firstLine="420" w:firstLineChars="200"/>
        <w:rPr>
          <w:rFonts w:hint="eastAsia" w:ascii="华文中宋" w:hAnsi="华文中宋" w:eastAsia="华文中宋"/>
          <w:b/>
          <w:szCs w:val="21"/>
        </w:rPr>
      </w:pPr>
      <w:r>
        <w:rPr>
          <w:rFonts w:hint="eastAsia" w:ascii="华文中宋" w:hAnsi="华文中宋" w:eastAsia="华文中宋"/>
          <w:b/>
          <w:szCs w:val="21"/>
        </w:rPr>
        <w:t>四、培养特色与学习年限</w:t>
      </w:r>
    </w:p>
    <w:p>
      <w:pPr>
        <w:adjustRightInd w:val="0"/>
        <w:snapToGrid w:val="0"/>
        <w:spacing w:line="336" w:lineRule="auto"/>
        <w:ind w:firstLine="420" w:firstLineChars="200"/>
        <w:rPr>
          <w:rFonts w:ascii="华文中宋" w:hAnsi="华文中宋" w:eastAsia="华文中宋"/>
          <w:szCs w:val="21"/>
        </w:rPr>
      </w:pPr>
      <w:r>
        <w:rPr>
          <w:rFonts w:hint="eastAsia" w:ascii="华文中宋" w:hAnsi="华文中宋" w:eastAsia="华文中宋"/>
          <w:szCs w:val="21"/>
        </w:rPr>
        <w:t>计算机软件与理论学术硕士和</w:t>
      </w:r>
      <w:r>
        <w:rPr>
          <w:rFonts w:ascii="华文中宋" w:hAnsi="华文中宋" w:eastAsia="华文中宋"/>
          <w:szCs w:val="21"/>
        </w:rPr>
        <w:t>软件工程领域</w:t>
      </w:r>
      <w:r>
        <w:rPr>
          <w:rFonts w:hint="eastAsia" w:ascii="华文中宋" w:hAnsi="华文中宋" w:eastAsia="华文中宋"/>
          <w:szCs w:val="21"/>
        </w:rPr>
        <w:t>专业</w:t>
      </w:r>
      <w:r>
        <w:rPr>
          <w:rFonts w:ascii="华文中宋" w:hAnsi="华文中宋" w:eastAsia="华文中宋"/>
          <w:szCs w:val="21"/>
        </w:rPr>
        <w:t>硕士采用系统的课程学习和工程实践相结合的培养方式。课程学习实行学分制；软件工程实践要求学生直接参与软件企业或软件工程项目的实际开发过程，完成必要的技术方案设计、软件</w:t>
      </w:r>
      <w:r>
        <w:rPr>
          <w:rFonts w:hint="eastAsia" w:ascii="华文中宋" w:hAnsi="华文中宋" w:eastAsia="华文中宋"/>
          <w:szCs w:val="21"/>
        </w:rPr>
        <w:t>研</w:t>
      </w:r>
      <w:r>
        <w:rPr>
          <w:rFonts w:ascii="华文中宋" w:hAnsi="华文中宋" w:eastAsia="华文中宋"/>
          <w:szCs w:val="21"/>
        </w:rPr>
        <w:t>发、项目管理等工作，并在所取得的工程实践成果的基础上完成硕士学位论文的工作。</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学院聘请</w:t>
      </w:r>
      <w:r>
        <w:rPr>
          <w:rFonts w:hint="eastAsia" w:ascii="华文中宋" w:hAnsi="华文中宋" w:eastAsia="华文中宋"/>
          <w:szCs w:val="21"/>
        </w:rPr>
        <w:t>国内外</w:t>
      </w:r>
      <w:r>
        <w:rPr>
          <w:rFonts w:ascii="华文中宋" w:hAnsi="华文中宋" w:eastAsia="华文中宋"/>
          <w:szCs w:val="21"/>
        </w:rPr>
        <w:t>具有丰富实践和教学指导经验的企业资深技术或管理人员参与课程教学，并对学生的软件工程实践进行联合指导。加强双语教学的力度，包括直接采用英文原版教材，培养学生国际竞争的能力。</w:t>
      </w:r>
    </w:p>
    <w:p>
      <w:pPr>
        <w:adjustRightInd w:val="0"/>
        <w:snapToGrid w:val="0"/>
        <w:spacing w:line="336" w:lineRule="auto"/>
        <w:ind w:firstLine="420" w:firstLineChars="200"/>
        <w:rPr>
          <w:rFonts w:ascii="华文中宋" w:hAnsi="华文中宋" w:eastAsia="华文中宋"/>
          <w:szCs w:val="21"/>
        </w:rPr>
      </w:pPr>
      <w:r>
        <w:rPr>
          <w:rFonts w:hint="eastAsia" w:ascii="华文中宋" w:hAnsi="华文中宋" w:eastAsia="华文中宋"/>
          <w:szCs w:val="21"/>
        </w:rPr>
        <w:t>人才培养具有以下特色：</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．厚基础：夯实专业基础。学生须掌握软件工程领域扎实的理论基础和宽广的专业知识，在软件工程等多个专业领域具有长期、深入发展潜质和竞争能力；</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．强能力：强化能力素质。学生应具备运用先进的工程化方法、技术和工具，从事软件研发、维护等工作的能力，以及工程项目的组织与管理能力、团队协作能力和市场开拓能力；</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．重实践：注重工程应用。采取国际合作、校企共建和层次化的工程实践能力培养体系，使学生掌握软件产业最新的开发流程和规范，具有快速参与国际化企业开发和解决大型软件工程项目的能力；</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4</w:t>
      </w:r>
      <w:r>
        <w:rPr>
          <w:rFonts w:hint="eastAsia" w:ascii="华文中宋" w:hAnsi="华文中宋" w:eastAsia="华文中宋"/>
          <w:szCs w:val="21"/>
        </w:rPr>
        <w:t>．求创新：培养创新思维。采用系统的理论课程学习、层次化的工程实践体系训练和创新项目驱动等多种培养模式，打造具有深入发展潜质和强竞争能力的高层次、复合型、国际化软件高层次人才。</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学制</w:t>
      </w:r>
      <w:r>
        <w:rPr>
          <w:rFonts w:hint="eastAsia" w:ascii="华文中宋" w:hAnsi="华文中宋" w:eastAsia="华文中宋"/>
          <w:szCs w:val="21"/>
        </w:rPr>
        <w:t>：学术型硕士为3年，学术型硕士第一年理论课程修完后，后续工作由指导教师安排；专业硕士为</w:t>
      </w:r>
      <w:r>
        <w:rPr>
          <w:rFonts w:ascii="华文中宋" w:hAnsi="华文中宋" w:eastAsia="华文中宋"/>
          <w:szCs w:val="21"/>
        </w:rPr>
        <w:t>2.5年，其中从事软件工程实践的时间一般不少于1年。</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全日制硕士研究生分为推免生和统考生，推免生比例占</w:t>
      </w:r>
      <w:r>
        <w:rPr>
          <w:rFonts w:hint="eastAsia" w:ascii="华文中宋" w:hAnsi="华文中宋" w:eastAsia="华文中宋"/>
          <w:szCs w:val="21"/>
        </w:rPr>
        <w:t>40</w:t>
      </w:r>
      <w:r>
        <w:rPr>
          <w:rFonts w:ascii="华文中宋" w:hAnsi="华文中宋" w:eastAsia="华文中宋"/>
          <w:szCs w:val="21"/>
        </w:rPr>
        <w:t>%</w:t>
      </w:r>
      <w:r>
        <w:rPr>
          <w:rFonts w:hint="eastAsia" w:ascii="华文中宋" w:hAnsi="华文中宋" w:eastAsia="华文中宋"/>
          <w:szCs w:val="21"/>
        </w:rPr>
        <w:t>。</w:t>
      </w:r>
    </w:p>
    <w:p>
      <w:pPr>
        <w:adjustRightInd w:val="0"/>
        <w:snapToGrid w:val="0"/>
        <w:spacing w:line="336" w:lineRule="auto"/>
        <w:ind w:firstLine="420" w:firstLineChars="200"/>
        <w:rPr>
          <w:rFonts w:hint="eastAsia" w:ascii="华文中宋" w:hAnsi="华文中宋" w:eastAsia="华文中宋"/>
          <w:b/>
          <w:szCs w:val="21"/>
        </w:rPr>
      </w:pPr>
      <w:r>
        <w:rPr>
          <w:rFonts w:hint="eastAsia" w:ascii="华文中宋" w:hAnsi="华文中宋" w:eastAsia="华文中宋"/>
          <w:b/>
          <w:szCs w:val="21"/>
        </w:rPr>
        <w:t>五、资助体系</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为了吸引优秀应届本科生到国家示范性软件学院学习深造，</w:t>
      </w:r>
      <w:r>
        <w:rPr>
          <w:rFonts w:ascii="华文中宋" w:hAnsi="华文中宋" w:eastAsia="华文中宋"/>
          <w:kern w:val="0"/>
          <w:szCs w:val="21"/>
        </w:rPr>
        <w:t>鼓励在读研究生刻苦学习</w:t>
      </w:r>
      <w:r>
        <w:rPr>
          <w:rFonts w:hint="eastAsia" w:ascii="华文中宋" w:hAnsi="华文中宋" w:eastAsia="华文中宋"/>
          <w:kern w:val="0"/>
          <w:szCs w:val="21"/>
        </w:rPr>
        <w:t>、</w:t>
      </w:r>
      <w:r>
        <w:rPr>
          <w:rFonts w:ascii="华文中宋" w:hAnsi="华文中宋" w:eastAsia="华文中宋"/>
          <w:kern w:val="0"/>
          <w:szCs w:val="21"/>
        </w:rPr>
        <w:t>勇于创新，</w:t>
      </w:r>
      <w:r>
        <w:rPr>
          <w:rFonts w:hint="eastAsia" w:ascii="华文中宋" w:hAnsi="华文中宋" w:eastAsia="华文中宋"/>
          <w:kern w:val="0"/>
          <w:szCs w:val="21"/>
        </w:rPr>
        <w:t>根据学校相关文件规定，</w:t>
      </w:r>
      <w:r>
        <w:rPr>
          <w:rFonts w:ascii="华文中宋" w:hAnsi="华文中宋" w:eastAsia="华文中宋"/>
          <w:szCs w:val="21"/>
        </w:rPr>
        <w:t>制定了如下</w:t>
      </w:r>
      <w:r>
        <w:rPr>
          <w:rFonts w:ascii="华文中宋" w:hAnsi="华文中宋" w:eastAsia="华文中宋"/>
          <w:kern w:val="0"/>
          <w:szCs w:val="21"/>
        </w:rPr>
        <w:t>资助体系</w:t>
      </w:r>
      <w:r>
        <w:rPr>
          <w:rFonts w:ascii="华文中宋" w:hAnsi="华文中宋" w:eastAsia="华文中宋"/>
          <w:szCs w:val="21"/>
        </w:rPr>
        <w:t>：</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1．</w:t>
      </w:r>
      <w:r>
        <w:rPr>
          <w:rFonts w:ascii="华文中宋" w:hAnsi="华文中宋" w:eastAsia="华文中宋"/>
          <w:szCs w:val="21"/>
        </w:rPr>
        <w:t>学业奖</w:t>
      </w:r>
      <w:r>
        <w:rPr>
          <w:rFonts w:hint="eastAsia" w:ascii="华文中宋" w:hAnsi="华文中宋" w:eastAsia="华文中宋"/>
          <w:szCs w:val="21"/>
        </w:rPr>
        <w:t>学</w:t>
      </w:r>
      <w:r>
        <w:rPr>
          <w:rFonts w:ascii="华文中宋" w:hAnsi="华文中宋" w:eastAsia="华文中宋"/>
          <w:szCs w:val="21"/>
        </w:rPr>
        <w:t>金：</w:t>
      </w:r>
      <w:r>
        <w:rPr>
          <w:rFonts w:hint="eastAsia" w:ascii="华文中宋" w:hAnsi="华文中宋" w:eastAsia="华文中宋"/>
          <w:szCs w:val="21"/>
        </w:rPr>
        <w:t>保研免推到</w:t>
      </w:r>
      <w:r>
        <w:rPr>
          <w:rFonts w:ascii="华文中宋" w:hAnsi="华文中宋" w:eastAsia="华文中宋"/>
          <w:szCs w:val="21"/>
        </w:rPr>
        <w:t>本院的应届本科生</w:t>
      </w:r>
      <w:r>
        <w:rPr>
          <w:rFonts w:hint="eastAsia" w:ascii="华文中宋" w:hAnsi="华文中宋" w:eastAsia="华文中宋"/>
          <w:szCs w:val="21"/>
        </w:rPr>
        <w:t>全部</w:t>
      </w:r>
      <w:r>
        <w:rPr>
          <w:rFonts w:ascii="华文中宋" w:hAnsi="华文中宋" w:eastAsia="华文中宋"/>
          <w:szCs w:val="21"/>
        </w:rPr>
        <w:t>享受</w:t>
      </w:r>
      <w:r>
        <w:rPr>
          <w:rFonts w:hint="eastAsia" w:ascii="华文中宋" w:hAnsi="华文中宋" w:eastAsia="华文中宋"/>
          <w:szCs w:val="21"/>
        </w:rPr>
        <w:t>一等</w:t>
      </w:r>
      <w:r>
        <w:rPr>
          <w:rFonts w:ascii="华文中宋" w:hAnsi="华文中宋" w:eastAsia="华文中宋"/>
          <w:szCs w:val="21"/>
        </w:rPr>
        <w:t>学业奖</w:t>
      </w:r>
      <w:r>
        <w:rPr>
          <w:rFonts w:hint="eastAsia" w:ascii="华文中宋" w:hAnsi="华文中宋" w:eastAsia="华文中宋"/>
          <w:szCs w:val="21"/>
        </w:rPr>
        <w:t>学</w:t>
      </w:r>
      <w:r>
        <w:rPr>
          <w:rFonts w:ascii="华文中宋" w:hAnsi="华文中宋" w:eastAsia="华文中宋"/>
          <w:szCs w:val="21"/>
        </w:rPr>
        <w:t>金资助；</w:t>
      </w:r>
      <w:r>
        <w:rPr>
          <w:rFonts w:hint="eastAsia" w:ascii="华文中宋" w:hAnsi="华文中宋" w:eastAsia="华文中宋"/>
          <w:szCs w:val="21"/>
        </w:rPr>
        <w:t>其他学生可根据学院</w:t>
      </w:r>
      <w:r>
        <w:rPr>
          <w:rFonts w:ascii="华文中宋" w:hAnsi="华文中宋" w:eastAsia="华文中宋"/>
          <w:szCs w:val="21"/>
        </w:rPr>
        <w:t>学业奖</w:t>
      </w:r>
      <w:r>
        <w:rPr>
          <w:rFonts w:hint="eastAsia" w:ascii="华文中宋" w:hAnsi="华文中宋" w:eastAsia="华文中宋"/>
          <w:szCs w:val="21"/>
        </w:rPr>
        <w:t>学</w:t>
      </w:r>
      <w:r>
        <w:rPr>
          <w:rFonts w:ascii="华文中宋" w:hAnsi="华文中宋" w:eastAsia="华文中宋"/>
          <w:szCs w:val="21"/>
        </w:rPr>
        <w:t>金资助</w:t>
      </w:r>
      <w:r>
        <w:rPr>
          <w:rFonts w:hint="eastAsia" w:ascii="华文中宋" w:hAnsi="华文中宋" w:eastAsia="华文中宋"/>
          <w:szCs w:val="21"/>
        </w:rPr>
        <w:t>条件，申请相应等级</w:t>
      </w:r>
      <w:r>
        <w:rPr>
          <w:rFonts w:ascii="华文中宋" w:hAnsi="华文中宋" w:eastAsia="华文中宋"/>
          <w:szCs w:val="21"/>
        </w:rPr>
        <w:t>学业奖</w:t>
      </w:r>
      <w:r>
        <w:rPr>
          <w:rFonts w:hint="eastAsia" w:ascii="华文中宋" w:hAnsi="华文中宋" w:eastAsia="华文中宋"/>
          <w:szCs w:val="21"/>
        </w:rPr>
        <w:t>学</w:t>
      </w:r>
      <w:r>
        <w:rPr>
          <w:rFonts w:ascii="华文中宋" w:hAnsi="华文中宋" w:eastAsia="华文中宋"/>
          <w:szCs w:val="21"/>
        </w:rPr>
        <w:t>金资助</w:t>
      </w:r>
      <w:r>
        <w:rPr>
          <w:rFonts w:hint="eastAsia" w:ascii="华文中宋" w:hAnsi="华文中宋" w:eastAsia="华文中宋"/>
          <w:szCs w:val="21"/>
        </w:rPr>
        <w:t>。</w:t>
      </w:r>
    </w:p>
    <w:p>
      <w:pPr>
        <w:adjustRightInd w:val="0"/>
        <w:snapToGrid w:val="0"/>
        <w:spacing w:line="336" w:lineRule="auto"/>
        <w:ind w:firstLine="420" w:firstLineChars="200"/>
        <w:rPr>
          <w:rFonts w:ascii="华文中宋" w:hAnsi="华文中宋" w:eastAsia="华文中宋"/>
          <w:szCs w:val="21"/>
        </w:rPr>
      </w:pPr>
      <w:r>
        <w:rPr>
          <w:rFonts w:hint="eastAsia" w:ascii="华文中宋" w:hAnsi="华文中宋" w:eastAsia="华文中宋"/>
          <w:szCs w:val="21"/>
        </w:rPr>
        <w:t>2．国家助学金：全部在读且符合资助条件的研究生，可获得国家助学金</w:t>
      </w:r>
      <w:r>
        <w:rPr>
          <w:rFonts w:ascii="华文中宋" w:hAnsi="华文中宋" w:eastAsia="华文中宋"/>
          <w:szCs w:val="21"/>
        </w:rPr>
        <w:t>资助</w:t>
      </w:r>
      <w:r>
        <w:rPr>
          <w:rFonts w:hint="eastAsia" w:ascii="华文中宋" w:hAnsi="华文中宋" w:eastAsia="华文中宋"/>
          <w:szCs w:val="21"/>
        </w:rPr>
        <w:t>。</w:t>
      </w:r>
    </w:p>
    <w:p>
      <w:pPr>
        <w:adjustRightInd w:val="0"/>
        <w:snapToGrid w:val="0"/>
        <w:spacing w:line="336" w:lineRule="auto"/>
        <w:ind w:firstLine="420" w:firstLineChars="200"/>
        <w:rPr>
          <w:rFonts w:hint="eastAsia" w:ascii="华文中宋" w:hAnsi="华文中宋" w:eastAsia="华文中宋"/>
          <w:szCs w:val="21"/>
        </w:rPr>
      </w:pPr>
      <w:r>
        <w:rPr>
          <w:rFonts w:hint="eastAsia" w:ascii="华文中宋" w:hAnsi="华文中宋" w:eastAsia="华文中宋"/>
          <w:szCs w:val="21"/>
        </w:rPr>
        <w:t>3．</w:t>
      </w:r>
      <w:r>
        <w:rPr>
          <w:rFonts w:ascii="华文中宋" w:hAnsi="华文中宋" w:eastAsia="华文中宋"/>
          <w:szCs w:val="21"/>
        </w:rPr>
        <w:t>三助岗位</w:t>
      </w:r>
      <w:r>
        <w:rPr>
          <w:rFonts w:hint="eastAsia" w:ascii="华文中宋" w:hAnsi="华文中宋" w:eastAsia="华文中宋"/>
          <w:szCs w:val="21"/>
        </w:rPr>
        <w:t>：</w:t>
      </w:r>
      <w:r>
        <w:rPr>
          <w:rFonts w:ascii="华文中宋" w:hAnsi="华文中宋" w:eastAsia="华文中宋"/>
          <w:szCs w:val="21"/>
        </w:rPr>
        <w:t>学院</w:t>
      </w:r>
      <w:r>
        <w:rPr>
          <w:rFonts w:hint="eastAsia" w:ascii="华文中宋" w:hAnsi="华文中宋" w:eastAsia="华文中宋"/>
          <w:szCs w:val="21"/>
        </w:rPr>
        <w:t>设有</w:t>
      </w:r>
      <w:r>
        <w:rPr>
          <w:rFonts w:ascii="华文中宋" w:hAnsi="华文中宋" w:eastAsia="华文中宋"/>
          <w:szCs w:val="21"/>
        </w:rPr>
        <w:t>三助岗位</w:t>
      </w:r>
      <w:r>
        <w:rPr>
          <w:rFonts w:hint="eastAsia" w:ascii="华文中宋" w:hAnsi="华文中宋" w:eastAsia="华文中宋"/>
          <w:szCs w:val="21"/>
        </w:rPr>
        <w:t>，</w:t>
      </w:r>
      <w:r>
        <w:rPr>
          <w:rFonts w:ascii="华文中宋" w:hAnsi="华文中宋" w:eastAsia="华文中宋"/>
          <w:szCs w:val="21"/>
        </w:rPr>
        <w:t>贫困学生</w:t>
      </w:r>
      <w:r>
        <w:rPr>
          <w:rFonts w:hint="eastAsia" w:ascii="华文中宋" w:hAnsi="华文中宋" w:eastAsia="华文中宋"/>
          <w:szCs w:val="21"/>
        </w:rPr>
        <w:t>可优先申请。</w:t>
      </w:r>
    </w:p>
    <w:p>
      <w:pPr>
        <w:adjustRightInd w:val="0"/>
        <w:snapToGrid w:val="0"/>
        <w:spacing w:line="336" w:lineRule="auto"/>
        <w:ind w:firstLine="420" w:firstLineChars="200"/>
        <w:rPr>
          <w:rFonts w:hint="eastAsia" w:ascii="华文中宋" w:hAnsi="华文中宋" w:eastAsia="华文中宋"/>
          <w:b/>
          <w:szCs w:val="21"/>
        </w:rPr>
      </w:pPr>
    </w:p>
    <w:p>
      <w:pPr>
        <w:adjustRightInd w:val="0"/>
        <w:snapToGrid w:val="0"/>
        <w:spacing w:line="336" w:lineRule="auto"/>
        <w:ind w:firstLine="420" w:firstLineChars="200"/>
        <w:rPr>
          <w:rFonts w:hint="eastAsia" w:ascii="华文中宋" w:hAnsi="华文中宋" w:eastAsia="华文中宋"/>
          <w:b/>
          <w:szCs w:val="21"/>
        </w:rPr>
      </w:pPr>
      <w:r>
        <w:rPr>
          <w:rFonts w:ascii="华文中宋" w:hAnsi="华文中宋" w:eastAsia="华文中宋"/>
          <w:b/>
          <w:szCs w:val="21"/>
        </w:rPr>
        <w:t>【</w:t>
      </w:r>
      <w:r>
        <w:rPr>
          <w:rFonts w:hint="eastAsia" w:ascii="华文中宋" w:hAnsi="华文中宋" w:eastAsia="华文中宋"/>
          <w:b/>
          <w:szCs w:val="21"/>
        </w:rPr>
        <w:t>联系我们</w:t>
      </w:r>
      <w:r>
        <w:rPr>
          <w:rFonts w:ascii="华文中宋" w:hAnsi="华文中宋" w:eastAsia="华文中宋"/>
          <w:b/>
          <w:szCs w:val="21"/>
        </w:rPr>
        <w:t>】</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电话：027-8779225</w:t>
      </w:r>
      <w:r>
        <w:rPr>
          <w:rFonts w:hint="eastAsia" w:ascii="华文中宋" w:hAnsi="华文中宋" w:eastAsia="华文中宋"/>
          <w:szCs w:val="21"/>
        </w:rPr>
        <w:t>2(教务办：廖老师)，</w:t>
      </w:r>
      <w:r>
        <w:rPr>
          <w:rFonts w:ascii="华文中宋" w:hAnsi="华文中宋" w:eastAsia="华文中宋"/>
          <w:szCs w:val="21"/>
        </w:rPr>
        <w:t>027-8779225</w:t>
      </w:r>
      <w:r>
        <w:rPr>
          <w:rFonts w:hint="eastAsia" w:ascii="华文中宋" w:hAnsi="华文中宋" w:eastAsia="华文中宋"/>
          <w:szCs w:val="21"/>
        </w:rPr>
        <w:t>3(研工办：江老师)</w:t>
      </w:r>
    </w:p>
    <w:p>
      <w:pPr>
        <w:adjustRightInd w:val="0"/>
        <w:snapToGrid w:val="0"/>
        <w:spacing w:line="336" w:lineRule="auto"/>
        <w:ind w:firstLine="420" w:firstLineChars="200"/>
        <w:rPr>
          <w:rFonts w:ascii="华文中宋" w:hAnsi="华文中宋" w:eastAsia="华文中宋"/>
          <w:szCs w:val="21"/>
        </w:rPr>
      </w:pPr>
      <w:r>
        <w:rPr>
          <w:rFonts w:ascii="华文中宋" w:hAnsi="华文中宋" w:eastAsia="华文中宋"/>
          <w:szCs w:val="21"/>
        </w:rPr>
        <w:t>传真：027-87792251</w:t>
      </w:r>
    </w:p>
    <w:p>
      <w:pPr>
        <w:adjustRightInd w:val="0"/>
        <w:snapToGrid w:val="0"/>
        <w:spacing w:line="336" w:lineRule="auto"/>
        <w:ind w:firstLine="420" w:firstLineChars="200"/>
        <w:rPr>
          <w:rFonts w:hint="eastAsia" w:ascii="华文中宋" w:hAnsi="华文中宋" w:eastAsia="华文中宋"/>
          <w:szCs w:val="21"/>
        </w:rPr>
      </w:pPr>
      <w:r>
        <w:rPr>
          <w:rFonts w:ascii="华文中宋" w:hAnsi="华文中宋" w:eastAsia="华文中宋"/>
          <w:szCs w:val="21"/>
        </w:rPr>
        <w:t>网址：</w:t>
      </w:r>
      <w:r>
        <w:rPr>
          <w:rFonts w:ascii="华文中宋" w:hAnsi="华文中宋" w:eastAsia="华文中宋"/>
          <w:szCs w:val="21"/>
        </w:rPr>
        <w:fldChar w:fldCharType="begin"/>
      </w:r>
      <w:r>
        <w:rPr>
          <w:rFonts w:ascii="华文中宋" w:hAnsi="华文中宋" w:eastAsia="华文中宋"/>
          <w:szCs w:val="21"/>
        </w:rPr>
        <w:instrText xml:space="preserve"> HYPERLINK "http://sse.hust.edu.cn/" </w:instrText>
      </w:r>
      <w:r>
        <w:rPr>
          <w:rFonts w:ascii="华文中宋" w:hAnsi="华文中宋" w:eastAsia="华文中宋"/>
          <w:szCs w:val="21"/>
        </w:rPr>
        <w:fldChar w:fldCharType="separate"/>
      </w:r>
      <w:r>
        <w:rPr>
          <w:rStyle w:val="15"/>
          <w:rFonts w:ascii="华文中宋" w:hAnsi="华文中宋" w:eastAsia="华文中宋"/>
          <w:color w:val="auto"/>
          <w:szCs w:val="21"/>
        </w:rPr>
        <w:t>http://sse.hust.edu.cn/</w:t>
      </w:r>
      <w:r>
        <w:rPr>
          <w:rFonts w:ascii="华文中宋" w:hAnsi="华文中宋" w:eastAsia="华文中宋"/>
          <w:szCs w:val="21"/>
        </w:rPr>
        <w:fldChar w:fldCharType="end"/>
      </w:r>
    </w:p>
    <w:p>
      <w:pPr>
        <w:adjustRightInd w:val="0"/>
        <w:snapToGrid w:val="0"/>
        <w:spacing w:line="336" w:lineRule="auto"/>
        <w:ind w:firstLine="420" w:firstLineChars="200"/>
        <w:rPr>
          <w:rFonts w:hint="eastAsia" w:ascii="华文中宋" w:hAnsi="华文中宋" w:eastAsia="华文中宋"/>
          <w:b/>
          <w:szCs w:val="21"/>
        </w:rPr>
      </w:pPr>
      <w:r>
        <w:rPr>
          <w:rFonts w:ascii="华文中宋" w:hAnsi="华文中宋" w:eastAsia="华文中宋"/>
          <w:b/>
          <w:szCs w:val="21"/>
        </w:rPr>
        <w:t>热烈欢迎广大有志青年</w:t>
      </w:r>
      <w:r>
        <w:rPr>
          <w:rFonts w:hint="eastAsia" w:ascii="华文中宋" w:hAnsi="华文中宋" w:eastAsia="华文中宋"/>
          <w:b/>
          <w:szCs w:val="21"/>
        </w:rPr>
        <w:t>填报华中科技大学国家示范性</w:t>
      </w:r>
      <w:r>
        <w:rPr>
          <w:rFonts w:ascii="华文中宋" w:hAnsi="华文中宋" w:eastAsia="华文中宋"/>
          <w:b/>
          <w:szCs w:val="21"/>
        </w:rPr>
        <w:t>软件学院</w:t>
      </w:r>
      <w:r>
        <w:rPr>
          <w:rFonts w:hint="eastAsia" w:ascii="华文中宋" w:hAnsi="华文中宋" w:eastAsia="华文中宋"/>
          <w:b/>
          <w:szCs w:val="21"/>
        </w:rPr>
        <w:t>！</w:t>
      </w:r>
    </w:p>
    <w:p>
      <w:pPr>
        <w:adjustRightInd w:val="0"/>
        <w:snapToGrid w:val="0"/>
        <w:spacing w:line="336" w:lineRule="auto"/>
        <w:jc w:val="center"/>
        <w:rPr>
          <w:rFonts w:ascii="华文中宋" w:hAnsi="华文中宋" w:eastAsia="华文中宋"/>
          <w:b/>
          <w:szCs w:val="21"/>
        </w:rPr>
      </w:pPr>
      <w:r>
        <w:rPr>
          <w:rFonts w:hint="eastAsia" w:ascii="华文中宋" w:hAnsi="华文中宋" w:eastAsia="华文中宋"/>
          <w:szCs w:val="21"/>
        </w:rPr>
        <w:t>软件学院2019年</w:t>
      </w:r>
      <w:r>
        <w:rPr>
          <w:rFonts w:ascii="华文中宋" w:hAnsi="华文中宋" w:eastAsia="华文中宋"/>
          <w:szCs w:val="21"/>
        </w:rPr>
        <w:t>硕士</w:t>
      </w:r>
      <w:r>
        <w:rPr>
          <w:rFonts w:hint="eastAsia" w:ascii="华文中宋" w:hAnsi="华文中宋" w:eastAsia="华文中宋"/>
          <w:szCs w:val="21"/>
        </w:rPr>
        <w:t>研究生分专业指标比例分配</w:t>
      </w:r>
    </w:p>
    <w:tbl>
      <w:tblPr>
        <w:tblStyle w:val="16"/>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55"/>
        <w:gridCol w:w="1400"/>
        <w:gridCol w:w="1390"/>
        <w:gridCol w:w="139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Merge w:val="restart"/>
            <w:tcBorders>
              <w:tl2br w:val="single" w:color="auto" w:sz="4" w:space="0"/>
            </w:tcBorders>
            <w:vAlign w:val="center"/>
          </w:tcPr>
          <w:p>
            <w:pPr>
              <w:adjustRightInd w:val="0"/>
              <w:snapToGrid w:val="0"/>
              <w:jc w:val="center"/>
              <w:rPr>
                <w:rFonts w:ascii="华文中宋" w:hAnsi="华文中宋" w:eastAsia="华文中宋"/>
                <w:szCs w:val="21"/>
              </w:rPr>
            </w:pPr>
          </w:p>
          <w:p>
            <w:pPr>
              <w:adjustRightInd w:val="0"/>
              <w:snapToGrid w:val="0"/>
              <w:jc w:val="center"/>
              <w:rPr>
                <w:rFonts w:ascii="华文中宋" w:hAnsi="华文中宋" w:eastAsia="华文中宋"/>
                <w:szCs w:val="21"/>
              </w:rPr>
            </w:pPr>
          </w:p>
        </w:tc>
        <w:tc>
          <w:tcPr>
            <w:tcW w:w="1255" w:type="dxa"/>
            <w:vMerge w:val="restart"/>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专业代码</w:t>
            </w:r>
          </w:p>
        </w:tc>
        <w:tc>
          <w:tcPr>
            <w:tcW w:w="1400" w:type="dxa"/>
            <w:vMerge w:val="restart"/>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专业名称</w:t>
            </w:r>
          </w:p>
        </w:tc>
        <w:tc>
          <w:tcPr>
            <w:tcW w:w="2784" w:type="dxa"/>
            <w:gridSpan w:val="2"/>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各考试类别</w:t>
            </w:r>
            <w:r>
              <w:rPr>
                <w:rFonts w:ascii="华文中宋" w:hAnsi="华文中宋" w:eastAsia="华文中宋"/>
                <w:szCs w:val="21"/>
              </w:rPr>
              <w:t>占本专业</w:t>
            </w:r>
            <w:r>
              <w:rPr>
                <w:rFonts w:hint="eastAsia" w:ascii="华文中宋" w:hAnsi="华文中宋" w:eastAsia="华文中宋"/>
                <w:szCs w:val="21"/>
              </w:rPr>
              <w:t>比例</w:t>
            </w:r>
          </w:p>
        </w:tc>
        <w:tc>
          <w:tcPr>
            <w:tcW w:w="1680" w:type="dxa"/>
            <w:vMerge w:val="restart"/>
            <w:vAlign w:val="center"/>
          </w:tcPr>
          <w:p>
            <w:pPr>
              <w:adjustRightInd w:val="0"/>
              <w:snapToGrid w:val="0"/>
              <w:jc w:val="center"/>
              <w:rPr>
                <w:rFonts w:hint="eastAsia" w:ascii="华文中宋" w:hAnsi="华文中宋" w:eastAsia="华文中宋"/>
                <w:szCs w:val="21"/>
              </w:rPr>
            </w:pPr>
            <w:r>
              <w:rPr>
                <w:rFonts w:hint="eastAsia" w:ascii="华文中宋" w:hAnsi="华文中宋" w:eastAsia="华文中宋"/>
                <w:szCs w:val="21"/>
              </w:rPr>
              <w:t>专业招</w:t>
            </w:r>
            <w:r>
              <w:rPr>
                <w:rFonts w:ascii="华文中宋" w:hAnsi="华文中宋" w:eastAsia="华文中宋"/>
                <w:szCs w:val="21"/>
              </w:rPr>
              <w:t>生数占院系总数比例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Merge w:val="continue"/>
            <w:tcBorders>
              <w:tl2br w:val="single" w:color="auto" w:sz="4" w:space="0"/>
            </w:tcBorders>
            <w:vAlign w:val="center"/>
          </w:tcPr>
          <w:p>
            <w:pPr>
              <w:adjustRightInd w:val="0"/>
              <w:snapToGrid w:val="0"/>
              <w:jc w:val="center"/>
              <w:rPr>
                <w:rFonts w:ascii="华文中宋" w:hAnsi="华文中宋" w:eastAsia="华文中宋"/>
                <w:szCs w:val="21"/>
              </w:rPr>
            </w:pPr>
          </w:p>
        </w:tc>
        <w:tc>
          <w:tcPr>
            <w:tcW w:w="1255" w:type="dxa"/>
            <w:vMerge w:val="continue"/>
            <w:vAlign w:val="center"/>
          </w:tcPr>
          <w:p>
            <w:pPr>
              <w:adjustRightInd w:val="0"/>
              <w:snapToGrid w:val="0"/>
              <w:jc w:val="center"/>
              <w:rPr>
                <w:rFonts w:ascii="华文中宋" w:hAnsi="华文中宋" w:eastAsia="华文中宋"/>
                <w:szCs w:val="21"/>
              </w:rPr>
            </w:pPr>
          </w:p>
        </w:tc>
        <w:tc>
          <w:tcPr>
            <w:tcW w:w="1400" w:type="dxa"/>
            <w:vMerge w:val="continue"/>
            <w:vAlign w:val="center"/>
          </w:tcPr>
          <w:p>
            <w:pPr>
              <w:adjustRightInd w:val="0"/>
              <w:snapToGrid w:val="0"/>
              <w:jc w:val="center"/>
              <w:rPr>
                <w:rFonts w:ascii="华文中宋" w:hAnsi="华文中宋" w:eastAsia="华文中宋"/>
                <w:szCs w:val="21"/>
              </w:rPr>
            </w:pPr>
          </w:p>
        </w:tc>
        <w:tc>
          <w:tcPr>
            <w:tcW w:w="1390" w:type="dxa"/>
            <w:vAlign w:val="center"/>
          </w:tcPr>
          <w:p>
            <w:pPr>
              <w:adjustRightInd w:val="0"/>
              <w:snapToGrid w:val="0"/>
              <w:jc w:val="center"/>
              <w:rPr>
                <w:rFonts w:hint="eastAsia" w:ascii="华文中宋" w:hAnsi="华文中宋" w:eastAsia="华文中宋"/>
                <w:szCs w:val="21"/>
              </w:rPr>
            </w:pPr>
            <w:r>
              <w:rPr>
                <w:rFonts w:hint="eastAsia" w:ascii="华文中宋" w:hAnsi="华文中宋" w:eastAsia="华文中宋"/>
                <w:szCs w:val="21"/>
              </w:rPr>
              <w:t>公开招考</w:t>
            </w:r>
          </w:p>
        </w:tc>
        <w:tc>
          <w:tcPr>
            <w:tcW w:w="1394" w:type="dxa"/>
            <w:vAlign w:val="center"/>
          </w:tcPr>
          <w:p>
            <w:pPr>
              <w:adjustRightInd w:val="0"/>
              <w:snapToGrid w:val="0"/>
              <w:jc w:val="center"/>
              <w:rPr>
                <w:rFonts w:hint="eastAsia" w:ascii="华文中宋" w:hAnsi="华文中宋" w:eastAsia="华文中宋"/>
                <w:szCs w:val="21"/>
              </w:rPr>
            </w:pPr>
            <w:r>
              <w:rPr>
                <w:rFonts w:hint="eastAsia" w:ascii="华文中宋" w:hAnsi="华文中宋" w:eastAsia="华文中宋"/>
                <w:szCs w:val="21"/>
              </w:rPr>
              <w:t>推免生</w:t>
            </w:r>
          </w:p>
        </w:tc>
        <w:tc>
          <w:tcPr>
            <w:tcW w:w="1680" w:type="dxa"/>
            <w:vMerge w:val="continue"/>
            <w:vAlign w:val="center"/>
          </w:tcPr>
          <w:p>
            <w:pPr>
              <w:adjustRightInd w:val="0"/>
              <w:snapToGrid w:val="0"/>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学术型</w:t>
            </w:r>
          </w:p>
        </w:tc>
        <w:tc>
          <w:tcPr>
            <w:tcW w:w="1255"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081202</w:t>
            </w:r>
          </w:p>
        </w:tc>
        <w:tc>
          <w:tcPr>
            <w:tcW w:w="1400" w:type="dxa"/>
            <w:vAlign w:val="center"/>
          </w:tcPr>
          <w:p>
            <w:pPr>
              <w:adjustRightInd w:val="0"/>
              <w:snapToGrid w:val="0"/>
              <w:jc w:val="center"/>
              <w:rPr>
                <w:rFonts w:hint="eastAsia" w:ascii="华文中宋" w:hAnsi="华文中宋" w:eastAsia="华文中宋"/>
                <w:szCs w:val="21"/>
              </w:rPr>
            </w:pPr>
            <w:r>
              <w:rPr>
                <w:rFonts w:hint="eastAsia" w:ascii="华文中宋" w:hAnsi="华文中宋" w:eastAsia="华文中宋"/>
                <w:szCs w:val="21"/>
              </w:rPr>
              <w:t>计算机软件与理论</w:t>
            </w:r>
          </w:p>
        </w:tc>
        <w:tc>
          <w:tcPr>
            <w:tcW w:w="139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60%</w:t>
            </w:r>
          </w:p>
        </w:tc>
        <w:tc>
          <w:tcPr>
            <w:tcW w:w="139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40%</w:t>
            </w:r>
          </w:p>
        </w:tc>
        <w:tc>
          <w:tcPr>
            <w:tcW w:w="1680" w:type="dxa"/>
            <w:vAlign w:val="center"/>
          </w:tcPr>
          <w:p>
            <w:pPr>
              <w:adjustRightInd w:val="0"/>
              <w:snapToGrid w:val="0"/>
              <w:jc w:val="center"/>
              <w:rPr>
                <w:rFonts w:hint="eastAsia" w:ascii="华文中宋" w:hAnsi="华文中宋" w:eastAsia="华文中宋"/>
                <w:szCs w:val="21"/>
              </w:rPr>
            </w:pPr>
            <w:r>
              <w:rPr>
                <w:rFonts w:hint="eastAsia" w:ascii="华文中宋" w:hAnsi="华文中宋" w:eastAsia="华文中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adjustRightInd w:val="0"/>
              <w:snapToGrid w:val="0"/>
              <w:jc w:val="center"/>
              <w:rPr>
                <w:rFonts w:hint="eastAsia" w:ascii="华文中宋" w:hAnsi="华文中宋" w:eastAsia="华文中宋"/>
                <w:szCs w:val="21"/>
              </w:rPr>
            </w:pPr>
            <w:r>
              <w:rPr>
                <w:rFonts w:hint="eastAsia" w:ascii="华文中宋" w:hAnsi="华文中宋" w:eastAsia="华文中宋"/>
                <w:szCs w:val="21"/>
              </w:rPr>
              <w:t>专业型</w:t>
            </w:r>
          </w:p>
        </w:tc>
        <w:tc>
          <w:tcPr>
            <w:tcW w:w="1255"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085212</w:t>
            </w:r>
          </w:p>
        </w:tc>
        <w:tc>
          <w:tcPr>
            <w:tcW w:w="140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软件工程</w:t>
            </w:r>
          </w:p>
        </w:tc>
        <w:tc>
          <w:tcPr>
            <w:tcW w:w="139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60%</w:t>
            </w:r>
          </w:p>
        </w:tc>
        <w:tc>
          <w:tcPr>
            <w:tcW w:w="139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40%</w:t>
            </w:r>
          </w:p>
        </w:tc>
        <w:tc>
          <w:tcPr>
            <w:tcW w:w="168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adjustRightInd w:val="0"/>
              <w:snapToGrid w:val="0"/>
              <w:jc w:val="center"/>
              <w:rPr>
                <w:rFonts w:ascii="华文中宋" w:hAnsi="华文中宋" w:eastAsia="华文中宋"/>
                <w:szCs w:val="21"/>
              </w:rPr>
            </w:pPr>
          </w:p>
        </w:tc>
        <w:tc>
          <w:tcPr>
            <w:tcW w:w="1255" w:type="dxa"/>
            <w:vAlign w:val="center"/>
          </w:tcPr>
          <w:p>
            <w:pPr>
              <w:adjustRightInd w:val="0"/>
              <w:snapToGrid w:val="0"/>
              <w:jc w:val="center"/>
              <w:rPr>
                <w:rFonts w:ascii="华文中宋" w:hAnsi="华文中宋" w:eastAsia="华文中宋"/>
                <w:szCs w:val="21"/>
              </w:rPr>
            </w:pPr>
          </w:p>
        </w:tc>
        <w:tc>
          <w:tcPr>
            <w:tcW w:w="1400" w:type="dxa"/>
            <w:vAlign w:val="center"/>
          </w:tcPr>
          <w:p>
            <w:pPr>
              <w:adjustRightInd w:val="0"/>
              <w:snapToGrid w:val="0"/>
              <w:jc w:val="center"/>
              <w:rPr>
                <w:rFonts w:ascii="华文中宋" w:hAnsi="华文中宋" w:eastAsia="华文中宋"/>
                <w:szCs w:val="21"/>
              </w:rPr>
            </w:pPr>
          </w:p>
        </w:tc>
        <w:tc>
          <w:tcPr>
            <w:tcW w:w="1390"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w:t>
            </w:r>
          </w:p>
        </w:tc>
        <w:tc>
          <w:tcPr>
            <w:tcW w:w="1394" w:type="dxa"/>
            <w:vAlign w:val="center"/>
          </w:tcPr>
          <w:p>
            <w:pPr>
              <w:adjustRightInd w:val="0"/>
              <w:snapToGrid w:val="0"/>
              <w:jc w:val="center"/>
              <w:rPr>
                <w:rFonts w:ascii="华文中宋" w:hAnsi="华文中宋" w:eastAsia="华文中宋"/>
                <w:szCs w:val="21"/>
              </w:rPr>
            </w:pPr>
            <w:r>
              <w:rPr>
                <w:rFonts w:hint="eastAsia" w:ascii="华文中宋" w:hAnsi="华文中宋" w:eastAsia="华文中宋"/>
                <w:szCs w:val="21"/>
              </w:rPr>
              <w:t>%</w:t>
            </w:r>
          </w:p>
        </w:tc>
        <w:tc>
          <w:tcPr>
            <w:tcW w:w="1680" w:type="dxa"/>
            <w:vAlign w:val="center"/>
          </w:tcPr>
          <w:p>
            <w:pPr>
              <w:adjustRightInd w:val="0"/>
              <w:snapToGrid w:val="0"/>
              <w:jc w:val="center"/>
              <w:rPr>
                <w:rFonts w:ascii="华文中宋" w:hAnsi="华文中宋" w:eastAsia="华文中宋"/>
                <w:szCs w:val="21"/>
              </w:rPr>
            </w:pPr>
          </w:p>
        </w:tc>
      </w:tr>
    </w:tbl>
    <w:p>
      <w:pPr>
        <w:pStyle w:val="4"/>
        <w:adjustRightInd w:val="0"/>
        <w:snapToGrid w:val="0"/>
        <w:spacing w:line="280" w:lineRule="exact"/>
        <w:rPr>
          <w:rFonts w:ascii="华文中宋" w:hAnsi="华文中宋" w:eastAsia="华文中宋"/>
          <w:szCs w:val="21"/>
        </w:rPr>
      </w:pPr>
    </w:p>
    <w:p>
      <w:pPr>
        <w:pStyle w:val="3"/>
        <w:rPr>
          <w:rFonts w:hint="eastAsia"/>
          <w:lang w:eastAsia="zh-CN"/>
        </w:rPr>
      </w:pPr>
      <w:r>
        <w:rPr>
          <w:rFonts w:ascii="华文中宋" w:hAnsi="华文中宋" w:eastAsia="华文中宋"/>
          <w:szCs w:val="21"/>
        </w:rPr>
        <w:br w:type="page"/>
      </w:r>
      <w:bookmarkStart w:id="2" w:name="_Toc511916802"/>
      <w:bookmarkStart w:id="3" w:name="_Toc524018554"/>
      <w:r>
        <w:t>学术学位招生目录</w:t>
      </w:r>
      <w:bookmarkEnd w:id="2"/>
      <w:bookmarkEnd w:id="3"/>
    </w:p>
    <w:tbl>
      <w:tblPr>
        <w:tblStyle w:val="16"/>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81" w:type="dxa"/>
            <w:tcBorders>
              <w:top w:val="single" w:color="auto" w:sz="4" w:space="0"/>
              <w:bottom w:val="single" w:color="auto" w:sz="4" w:space="0"/>
            </w:tcBorders>
            <w:vAlign w:val="center"/>
          </w:tcPr>
          <w:p>
            <w:pPr>
              <w:adjustRightInd w:val="0"/>
              <w:snapToGrid w:val="0"/>
              <w:spacing w:line="280" w:lineRule="exact"/>
              <w:ind w:left="735" w:hanging="735" w:hangingChars="350"/>
              <w:jc w:val="center"/>
              <w:rPr>
                <w:rFonts w:ascii="华文中宋" w:hAnsi="华文中宋" w:eastAsia="华文中宋"/>
                <w:szCs w:val="21"/>
              </w:rPr>
            </w:pPr>
            <w:r>
              <w:rPr>
                <w:rFonts w:hint="eastAsia" w:ascii="华文中宋" w:hAnsi="华文中宋" w:eastAsia="华文中宋"/>
                <w:szCs w:val="21"/>
              </w:rPr>
              <w:t>考试科目</w:t>
            </w:r>
          </w:p>
        </w:tc>
        <w:tc>
          <w:tcPr>
            <w:tcW w:w="1246"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4" w:name="_Toc524018555"/>
            <w:r>
              <w:rPr>
                <w:rFonts w:hint="eastAsia"/>
                <w:lang w:val="en-US" w:eastAsia="zh-CN"/>
              </w:rPr>
              <w:t>440软件学院</w:t>
            </w:r>
            <w:bookmarkEnd w:id="4"/>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ind w:left="482" w:hanging="482" w:hangingChars="200"/>
              <w:rPr>
                <w:lang w:val="en-US" w:eastAsia="zh-CN"/>
              </w:rPr>
            </w:pPr>
            <w:bookmarkStart w:id="5" w:name="_Toc524018556"/>
            <w:r>
              <w:rPr>
                <w:rFonts w:hint="eastAsia"/>
                <w:lang w:val="en-US" w:eastAsia="zh-CN"/>
              </w:rPr>
              <w:t>081202计算机软件与理论</w:t>
            </w:r>
            <w:bookmarkEnd w:id="5"/>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④834 计算机专业基础综合(数据结构、计算机网络)</w:t>
            </w: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(全日制)人工智能</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(全日制)大数据挖掘与分析</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(全日制)软件服务</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bl>
    <w:p>
      <w:pPr>
        <w:pStyle w:val="3"/>
        <w:rPr>
          <w:rFonts w:hint="eastAsia"/>
          <w:lang w:eastAsia="zh-CN"/>
        </w:rPr>
      </w:pPr>
      <w:r>
        <w:br w:type="page"/>
      </w:r>
      <w:bookmarkStart w:id="6" w:name="_Toc524018557"/>
      <w:r>
        <w:rPr>
          <w:rFonts w:hint="eastAsia"/>
          <w:lang w:eastAsia="zh-CN"/>
        </w:rPr>
        <w:t>专业</w:t>
      </w:r>
      <w:r>
        <w:t>学位招生目录</w:t>
      </w:r>
      <w:bookmarkEnd w:id="6"/>
    </w:p>
    <w:tbl>
      <w:tblPr>
        <w:tblStyle w:val="16"/>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81" w:type="dxa"/>
            <w:tcBorders>
              <w:top w:val="single" w:color="auto" w:sz="4" w:space="0"/>
              <w:bottom w:val="single" w:color="auto" w:sz="4" w:space="0"/>
            </w:tcBorders>
            <w:vAlign w:val="center"/>
          </w:tcPr>
          <w:p>
            <w:pPr>
              <w:adjustRightInd w:val="0"/>
              <w:snapToGrid w:val="0"/>
              <w:spacing w:line="280" w:lineRule="exact"/>
              <w:ind w:left="735" w:hanging="735" w:hangingChars="350"/>
              <w:jc w:val="center"/>
              <w:rPr>
                <w:rFonts w:ascii="华文中宋" w:hAnsi="华文中宋" w:eastAsia="华文中宋"/>
                <w:szCs w:val="21"/>
              </w:rPr>
            </w:pPr>
            <w:r>
              <w:rPr>
                <w:rFonts w:hint="eastAsia" w:ascii="华文中宋" w:hAnsi="华文中宋" w:eastAsia="华文中宋"/>
                <w:szCs w:val="21"/>
              </w:rPr>
              <w:t>考试科目</w:t>
            </w:r>
          </w:p>
        </w:tc>
        <w:tc>
          <w:tcPr>
            <w:tcW w:w="1246"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9" w:name="_GoBack"/>
            <w:bookmarkStart w:id="7" w:name="_Toc524018558"/>
            <w:r>
              <w:rPr>
                <w:rFonts w:hint="eastAsia"/>
                <w:lang w:val="en-US" w:eastAsia="zh-CN"/>
              </w:rPr>
              <w:t>440软件学院</w:t>
            </w:r>
            <w:bookmarkEnd w:id="7"/>
            <w:bookmarkEnd w:id="9"/>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ind w:left="482" w:hanging="482" w:hangingChars="200"/>
              <w:rPr>
                <w:lang w:val="en-US" w:eastAsia="zh-CN"/>
              </w:rPr>
            </w:pPr>
            <w:bookmarkStart w:id="8" w:name="_Toc524018559"/>
            <w:r>
              <w:rPr>
                <w:rFonts w:hint="eastAsia"/>
                <w:lang w:val="en-US" w:eastAsia="zh-CN"/>
              </w:rPr>
              <w:t>085212软件工程</w:t>
            </w:r>
            <w:bookmarkEnd w:id="8"/>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restart"/>
            <w:vAlign w:val="top"/>
          </w:tcPr>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③302 数学二 </w:t>
            </w:r>
          </w:p>
          <w:p>
            <w:pPr>
              <w:adjustRightInd w:val="0"/>
              <w:snapToGrid w:val="0"/>
              <w:spacing w:line="280" w:lineRule="exact"/>
              <w:ind w:left="735" w:hanging="735" w:hangingChars="350"/>
              <w:rPr>
                <w:rFonts w:ascii="华文中宋" w:hAnsi="华文中宋" w:eastAsia="华文中宋"/>
                <w:szCs w:val="21"/>
              </w:rPr>
            </w:pPr>
            <w:r>
              <w:rPr>
                <w:rFonts w:hint="eastAsia" w:ascii="华文中宋" w:hAnsi="华文中宋" w:eastAsia="华文中宋"/>
                <w:szCs w:val="21"/>
              </w:rPr>
              <w:t>④887 数据结构与算法分析</w:t>
            </w: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(全日制)软件工程理论与方法</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(全日制)软件质量工程与技术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(全日制)现代数据工程</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(全日制)智能计算技术与应用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(全日制)数字媒体技术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(全日制)网络与信息安全技术</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Merge w:val="continue"/>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(全日制)嵌入式系统与应用</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08</w:t>
            </w:r>
            <w:r>
              <w:rPr>
                <w:rFonts w:hint="eastAsia" w:ascii="华文中宋" w:hAnsi="华文中宋" w:eastAsia="华文中宋"/>
                <w:spacing w:val="-2"/>
                <w:szCs w:val="21"/>
              </w:rPr>
              <w:tab/>
            </w:r>
            <w:r>
              <w:rPr>
                <w:rFonts w:hint="eastAsia" w:ascii="华文中宋" w:hAnsi="华文中宋" w:eastAsia="华文中宋"/>
                <w:spacing w:val="-2"/>
                <w:szCs w:val="21"/>
              </w:rPr>
              <w:t>(全日制)数字化技术与领域工程</w:t>
            </w:r>
          </w:p>
        </w:tc>
        <w:tc>
          <w:tcPr>
            <w:tcW w:w="812" w:type="dxa"/>
            <w:vAlign w:val="top"/>
          </w:tcPr>
          <w:p>
            <w:pPr>
              <w:adjustRightInd w:val="0"/>
              <w:snapToGrid w:val="0"/>
              <w:spacing w:line="280" w:lineRule="exact"/>
              <w:rPr>
                <w:rFonts w:ascii="华文中宋" w:hAnsi="华文中宋" w:eastAsia="华文中宋"/>
                <w:szCs w:val="21"/>
              </w:rPr>
            </w:pPr>
          </w:p>
        </w:tc>
        <w:tc>
          <w:tcPr>
            <w:tcW w:w="2981" w:type="dxa"/>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tc>
        <w:tc>
          <w:tcPr>
            <w:tcW w:w="812"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2981" w:type="dxa"/>
            <w:tcBorders>
              <w:bottom w:val="single" w:color="auto" w:sz="4" w:space="0"/>
            </w:tcBorders>
            <w:vAlign w:val="top"/>
          </w:tcPr>
          <w:p>
            <w:pPr>
              <w:adjustRightInd w:val="0"/>
              <w:snapToGrid w:val="0"/>
              <w:spacing w:line="280" w:lineRule="exact"/>
              <w:ind w:left="735" w:hanging="735" w:hangingChars="350"/>
              <w:rPr>
                <w:rFonts w:ascii="华文中宋" w:hAnsi="华文中宋" w:eastAsia="华文中宋"/>
                <w:szCs w:val="21"/>
              </w:rPr>
            </w:pPr>
          </w:p>
        </w:tc>
        <w:tc>
          <w:tcPr>
            <w:tcW w:w="1246"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宋三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ÂËÎ">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526"/>
    <w:multiLevelType w:val="multilevel"/>
    <w:tmpl w:val="32E77526"/>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05032EF4"/>
    <w:rsid w:val="05974DA1"/>
    <w:rsid w:val="09297FF5"/>
    <w:rsid w:val="09A50462"/>
    <w:rsid w:val="106F654F"/>
    <w:rsid w:val="1DA76511"/>
    <w:rsid w:val="1E7A6E85"/>
    <w:rsid w:val="23030AD0"/>
    <w:rsid w:val="33103B31"/>
    <w:rsid w:val="367B53C0"/>
    <w:rsid w:val="37A46F2A"/>
    <w:rsid w:val="3C3D7222"/>
    <w:rsid w:val="3E8333CC"/>
    <w:rsid w:val="3ECD110C"/>
    <w:rsid w:val="45827289"/>
    <w:rsid w:val="4CCA5E32"/>
    <w:rsid w:val="527A7137"/>
    <w:rsid w:val="539709A7"/>
    <w:rsid w:val="59AF681A"/>
    <w:rsid w:val="5FF639E9"/>
    <w:rsid w:val="60911CCF"/>
    <w:rsid w:val="63745D5E"/>
    <w:rsid w:val="64180B70"/>
    <w:rsid w:val="680B58E5"/>
    <w:rsid w:val="681173E3"/>
    <w:rsid w:val="68856135"/>
    <w:rsid w:val="692230D0"/>
    <w:rsid w:val="6C6A4959"/>
    <w:rsid w:val="6EAC391B"/>
    <w:rsid w:val="6EDC27A1"/>
    <w:rsid w:val="70975C93"/>
    <w:rsid w:val="75560F60"/>
    <w:rsid w:val="76576CB5"/>
    <w:rsid w:val="7B30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link w:val="22"/>
    <w:qFormat/>
    <w:uiPriority w:val="0"/>
    <w:pPr>
      <w:keepNext/>
      <w:keepLines/>
      <w:spacing w:line="280" w:lineRule="exact"/>
      <w:outlineLvl w:val="3"/>
    </w:pPr>
    <w:rPr>
      <w:rFonts w:ascii="华文中宋" w:hAnsi="华文中宋" w:eastAsia="黑体"/>
      <w:b/>
      <w:bCs/>
      <w:kern w:val="0"/>
      <w:sz w:val="24"/>
    </w:rPr>
  </w:style>
  <w:style w:type="character" w:default="1" w:styleId="12">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 w:type="paragraph" w:styleId="7">
    <w:name w:val="Body Text Indent"/>
    <w:basedOn w:val="1"/>
    <w:qFormat/>
    <w:uiPriority w:val="0"/>
    <w:pPr>
      <w:spacing w:after="120"/>
      <w:ind w:left="420" w:leftChars="200"/>
    </w:pPr>
    <w:rPr>
      <w:rFonts w:ascii="Times New Roman" w:hAnsi="Times New Roman"/>
      <w:kern w:val="0"/>
      <w:sz w:val="20"/>
    </w:rPr>
  </w:style>
  <w:style w:type="paragraph" w:styleId="8">
    <w:name w:val="Plain Text"/>
    <w:basedOn w:val="1"/>
    <w:qFormat/>
    <w:uiPriority w:val="0"/>
    <w:rPr>
      <w:rFonts w:ascii="宋体" w:hAnsi="Courier New"/>
      <w:kern w:val="0"/>
      <w:sz w:val="20"/>
      <w:szCs w:val="21"/>
    </w:rPr>
  </w:style>
  <w:style w:type="paragraph" w:styleId="9">
    <w:name w:val="Body Text Indent 2"/>
    <w:basedOn w:val="1"/>
    <w:qFormat/>
    <w:uiPriority w:val="0"/>
    <w:pPr>
      <w:spacing w:after="120" w:line="480" w:lineRule="auto"/>
      <w:ind w:left="420" w:leftChars="200"/>
    </w:pPr>
    <w:rPr>
      <w:rFonts w:ascii="Times New Roman" w:hAnsi="Times New Roman"/>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page number"/>
    <w:basedOn w:val="12"/>
    <w:qFormat/>
    <w:uiPriority w:val="0"/>
  </w:style>
  <w:style w:type="character" w:styleId="14">
    <w:name w:val="HTML Typewriter"/>
    <w:qFormat/>
    <w:uiPriority w:val="0"/>
    <w:rPr>
      <w:rFonts w:ascii="宋体" w:hAnsi="宋体" w:eastAsia="宋体" w:cs="宋体"/>
      <w:sz w:val="12"/>
      <w:szCs w:val="12"/>
    </w:rPr>
  </w:style>
  <w:style w:type="character" w:styleId="15">
    <w:name w:val="Hyperlink"/>
    <w:qFormat/>
    <w:uiPriority w:val="0"/>
    <w:rPr>
      <w:color w:val="0000FF"/>
      <w:u w:val="single"/>
    </w:rPr>
  </w:style>
  <w:style w:type="paragraph" w:customStyle="1" w:styleId="17">
    <w:name w:val="msolistparagraph"/>
    <w:basedOn w:val="1"/>
    <w:qFormat/>
    <w:uiPriority w:val="0"/>
    <w:pPr>
      <w:ind w:firstLine="420" w:firstLineChars="200"/>
    </w:pPr>
    <w:rPr>
      <w:rFonts w:ascii="Calibri" w:hAnsi="Calibri"/>
      <w:szCs w:val="22"/>
    </w:rPr>
  </w:style>
  <w:style w:type="paragraph" w:customStyle="1" w:styleId="1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样式 首行缩进:  0 字符"/>
    <w:basedOn w:val="1"/>
    <w:next w:val="4"/>
    <w:qFormat/>
    <w:uiPriority w:val="99"/>
    <w:pPr>
      <w:spacing w:line="360" w:lineRule="auto"/>
      <w:ind w:firstLine="200" w:firstLineChars="200"/>
    </w:pPr>
    <w:rPr>
      <w:rFonts w:ascii="Calibri" w:hAnsi="Calibri"/>
      <w:sz w:val="24"/>
      <w:szCs w:val="20"/>
    </w:rPr>
  </w:style>
  <w:style w:type="paragraph" w:customStyle="1" w:styleId="21">
    <w:name w:val="List Paragraph"/>
    <w:basedOn w:val="1"/>
    <w:qFormat/>
    <w:uiPriority w:val="0"/>
    <w:pPr>
      <w:ind w:firstLine="420" w:firstLineChars="200"/>
    </w:pPr>
  </w:style>
  <w:style w:type="character" w:customStyle="1" w:styleId="22">
    <w:name w:val="标题 4 Char"/>
    <w:link w:val="6"/>
    <w:qFormat/>
    <w:uiPriority w:val="0"/>
    <w:rPr>
      <w:rFonts w:ascii="华文中宋" w:hAnsi="华文中宋" w:eastAsia="黑体"/>
      <w:b/>
      <w:bCs/>
      <w:kern w:val="0"/>
      <w:sz w:val="24"/>
    </w:rPr>
  </w:style>
  <w:style w:type="paragraph" w:customStyle="1" w:styleId="23">
    <w:name w:val="style1"/>
    <w:basedOn w:val="1"/>
    <w:qFormat/>
    <w:uiPriority w:val="0"/>
    <w:pPr>
      <w:widowControl/>
      <w:spacing w:before="60" w:after="60" w:line="360" w:lineRule="atLeast"/>
      <w:ind w:left="60" w:right="60" w:firstLine="480"/>
      <w:jc w:val="left"/>
    </w:pPr>
    <w:rPr>
      <w:rFonts w:ascii="仿宋_GB2312" w:hAnsi="宋体" w:eastAsia="仿宋_GB2312" w:cs="宋体"/>
      <w:b/>
      <w:bCs/>
      <w:color w:val="333333"/>
      <w:kern w:val="0"/>
      <w:sz w:val="27"/>
      <w:szCs w:val="27"/>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