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B5" w:rsidRDefault="007866B5" w:rsidP="007866B5">
      <w:pPr>
        <w:pStyle w:val="1"/>
      </w:pPr>
      <w:bookmarkStart w:id="0" w:name="_Toc493661541"/>
      <w:proofErr w:type="spellStart"/>
      <w:r>
        <w:t>数学与统计学院</w:t>
      </w:r>
      <w:bookmarkEnd w:id="0"/>
      <w:proofErr w:type="spellEnd"/>
    </w:p>
    <w:p w:rsidR="007866B5" w:rsidRDefault="007866B5" w:rsidP="007866B5">
      <w:pPr>
        <w:adjustRightInd w:val="0"/>
        <w:snapToGrid w:val="0"/>
        <w:spacing w:line="336" w:lineRule="auto"/>
        <w:ind w:firstLineChars="200" w:firstLine="420"/>
        <w:rPr>
          <w:rFonts w:eastAsia="方正宋三_GBK"/>
          <w:color w:val="000000"/>
          <w:szCs w:val="21"/>
        </w:rPr>
      </w:pPr>
      <w:r>
        <w:rPr>
          <w:rFonts w:eastAsia="方正宋三_GBK" w:hAnsi="宋体"/>
          <w:szCs w:val="21"/>
        </w:rPr>
        <w:t>华中科技大学数学与统计学院始建于</w:t>
      </w:r>
      <w:r>
        <w:rPr>
          <w:rFonts w:eastAsia="方正宋三_GBK"/>
          <w:szCs w:val="21"/>
        </w:rPr>
        <w:t>1953</w:t>
      </w:r>
      <w:r>
        <w:rPr>
          <w:rFonts w:eastAsia="方正宋三_GBK" w:hAnsi="宋体"/>
          <w:szCs w:val="21"/>
        </w:rPr>
        <w:t>年，经历了由数学教研室、数学系到数学与统计学院的发展历程。上世纪</w:t>
      </w:r>
      <w:r>
        <w:rPr>
          <w:rFonts w:eastAsia="方正宋三_GBK"/>
          <w:szCs w:val="21"/>
        </w:rPr>
        <w:t>50</w:t>
      </w:r>
      <w:r>
        <w:rPr>
          <w:rFonts w:eastAsia="方正宋三_GBK" w:hAnsi="宋体"/>
          <w:szCs w:val="21"/>
        </w:rPr>
        <w:t>年代初，著名数理统计学家林少宫先生从美国</w:t>
      </w:r>
      <w:r>
        <w:rPr>
          <w:rFonts w:eastAsia="方正宋三_GBK"/>
          <w:szCs w:val="21"/>
        </w:rPr>
        <w:t>Illinois</w:t>
      </w:r>
      <w:r>
        <w:rPr>
          <w:rFonts w:eastAsia="方正宋三_GBK" w:hAnsi="宋体"/>
          <w:szCs w:val="21"/>
        </w:rPr>
        <w:t>大学归来与熊庆来先生的弟子戴良谟等数学界老前辈一起主持了本学科的初创工作。上世纪</w:t>
      </w:r>
      <w:r>
        <w:rPr>
          <w:rFonts w:eastAsia="方正宋三_GBK"/>
          <w:szCs w:val="21"/>
        </w:rPr>
        <w:t>70</w:t>
      </w:r>
      <w:r>
        <w:rPr>
          <w:rFonts w:eastAsia="方正宋三_GBK" w:hAnsi="宋体"/>
          <w:szCs w:val="21"/>
        </w:rPr>
        <w:t>年代末，徐利治教授亲任系主任主持了数学系的创建工作，并于</w:t>
      </w:r>
      <w:r>
        <w:rPr>
          <w:rFonts w:eastAsia="方正宋三_GBK"/>
          <w:szCs w:val="21"/>
        </w:rPr>
        <w:t>1981</w:t>
      </w:r>
      <w:r>
        <w:rPr>
          <w:rFonts w:eastAsia="方正宋三_GBK" w:hAnsi="宋体"/>
          <w:szCs w:val="21"/>
        </w:rPr>
        <w:t>年获得应用数学硕士点，随后形成了应用数学、计算数学与运筹学协调发展的良好局面，在全国率先举办了数理逻辑、模糊数学等专题讨论班，创建了《数学评论与研究》和《模糊数学》学术期刊，并培养了国际著名数理经济学家田国强、艾春荣，美国</w:t>
      </w:r>
      <w:r>
        <w:rPr>
          <w:rFonts w:eastAsia="方正宋三_GBK"/>
          <w:szCs w:val="21"/>
        </w:rPr>
        <w:t xml:space="preserve"> Purdue </w:t>
      </w:r>
      <w:r>
        <w:rPr>
          <w:rFonts w:eastAsia="方正宋三_GBK" w:hAnsi="宋体"/>
          <w:szCs w:val="21"/>
        </w:rPr>
        <w:t>大学教授蔡智强等一批杰出学者。八十年代中期，陈庆益教授加盟我校进一步推动和加速了本学科的发展，其主持创建了《应用数学》杂志，并培养了长江特聘教授方复全等一大批数学人才。九十年代初，黄志远教授调来我校创建了随机分析研究中心，其与杰出青年基金获得者、长江特聘教授任佳刚一起推动了我校在概率统计领域的研究，并使我校获得了概率论与数理统计博士点。经过几十年的艰苦努力，目前数学与统计学院拥有数学博士后流动站、数学一级学科博士（硕士）点、统计学一级学科博士（硕士）点，以及应用统计专业硕士点。</w:t>
      </w:r>
      <w:r>
        <w:rPr>
          <w:rFonts w:eastAsia="方正宋三_GBK"/>
          <w:szCs w:val="21"/>
        </w:rPr>
        <w:t>2013</w:t>
      </w:r>
      <w:r>
        <w:rPr>
          <w:rFonts w:eastAsia="方正宋三_GBK" w:hAnsi="宋体"/>
          <w:szCs w:val="21"/>
        </w:rPr>
        <w:t>年数学一级学科获批湖北省重点学科，</w:t>
      </w:r>
      <w:r>
        <w:rPr>
          <w:rFonts w:eastAsia="方正宋三_GBK"/>
          <w:szCs w:val="21"/>
        </w:rPr>
        <w:t>2017</w:t>
      </w:r>
      <w:r>
        <w:rPr>
          <w:rFonts w:eastAsia="方正宋三_GBK" w:hAnsi="宋体"/>
          <w:szCs w:val="21"/>
        </w:rPr>
        <w:t>年</w:t>
      </w:r>
      <w:r>
        <w:rPr>
          <w:rFonts w:ascii="宋体" w:eastAsia="方正宋三_GBK" w:hAnsi="宋体"/>
          <w:szCs w:val="21"/>
        </w:rPr>
        <w:t>“</w:t>
      </w:r>
      <w:r>
        <w:rPr>
          <w:rFonts w:eastAsia="方正宋三_GBK" w:hAnsi="宋体"/>
          <w:szCs w:val="21"/>
        </w:rPr>
        <w:t>工程建模与科学计算实验室</w:t>
      </w:r>
      <w:r>
        <w:rPr>
          <w:rFonts w:ascii="宋体" w:eastAsia="方正宋三_GBK" w:hAnsi="宋体"/>
          <w:szCs w:val="21"/>
        </w:rPr>
        <w:t>”</w:t>
      </w:r>
      <w:r>
        <w:rPr>
          <w:rFonts w:eastAsia="方正宋三_GBK" w:hAnsi="宋体"/>
          <w:szCs w:val="21"/>
        </w:rPr>
        <w:t>获批湖北省重点实验室。在学位授权点建设的同时，数学与统计学院也先后建立了数学与应用数学、信息与计算科学、统计学三个本科专业。学院现有在校学</w:t>
      </w:r>
      <w:r>
        <w:rPr>
          <w:rFonts w:eastAsia="方正宋三_GBK" w:hAnsi="宋体"/>
          <w:color w:val="000000"/>
          <w:szCs w:val="21"/>
        </w:rPr>
        <w:t>生</w:t>
      </w:r>
      <w:r>
        <w:rPr>
          <w:rFonts w:eastAsia="方正宋三_GBK"/>
          <w:color w:val="000000"/>
          <w:szCs w:val="21"/>
        </w:rPr>
        <w:t>686</w:t>
      </w:r>
      <w:r>
        <w:rPr>
          <w:rFonts w:eastAsia="方正宋三_GBK" w:hAnsi="宋体"/>
          <w:color w:val="000000"/>
          <w:szCs w:val="21"/>
        </w:rPr>
        <w:t>人，其中本科生</w:t>
      </w:r>
      <w:r>
        <w:rPr>
          <w:rFonts w:eastAsia="方正宋三_GBK"/>
          <w:color w:val="000000"/>
          <w:szCs w:val="21"/>
        </w:rPr>
        <w:t>426</w:t>
      </w:r>
      <w:r>
        <w:rPr>
          <w:rFonts w:eastAsia="方正宋三_GBK" w:hAnsi="宋体"/>
          <w:color w:val="000000"/>
          <w:szCs w:val="21"/>
        </w:rPr>
        <w:t>人、硕士生</w:t>
      </w:r>
      <w:r>
        <w:rPr>
          <w:rFonts w:eastAsia="方正宋三_GBK"/>
          <w:color w:val="000000"/>
          <w:szCs w:val="21"/>
        </w:rPr>
        <w:t>171</w:t>
      </w:r>
      <w:r>
        <w:rPr>
          <w:rFonts w:eastAsia="方正宋三_GBK" w:hAnsi="宋体"/>
          <w:color w:val="000000"/>
          <w:szCs w:val="21"/>
        </w:rPr>
        <w:t>人、博士生</w:t>
      </w:r>
      <w:r>
        <w:rPr>
          <w:rFonts w:eastAsia="方正宋三_GBK"/>
          <w:color w:val="000000"/>
          <w:szCs w:val="21"/>
        </w:rPr>
        <w:t>78</w:t>
      </w:r>
      <w:r>
        <w:rPr>
          <w:rFonts w:eastAsia="方正宋三_GBK" w:hAnsi="宋体"/>
          <w:color w:val="000000"/>
          <w:szCs w:val="21"/>
        </w:rPr>
        <w:t>人、留学博士</w:t>
      </w:r>
      <w:r>
        <w:rPr>
          <w:rFonts w:eastAsia="方正宋三_GBK"/>
          <w:color w:val="000000"/>
          <w:szCs w:val="21"/>
        </w:rPr>
        <w:t>（</w:t>
      </w:r>
      <w:r>
        <w:rPr>
          <w:rFonts w:eastAsia="方正宋三_GBK" w:hAnsi="宋体"/>
          <w:color w:val="000000"/>
          <w:szCs w:val="21"/>
        </w:rPr>
        <w:t>硕士</w:t>
      </w:r>
      <w:r>
        <w:rPr>
          <w:rFonts w:eastAsia="方正宋三_GBK"/>
          <w:color w:val="000000"/>
          <w:szCs w:val="21"/>
        </w:rPr>
        <w:t>）</w:t>
      </w:r>
      <w:r>
        <w:rPr>
          <w:rFonts w:eastAsia="方正宋三_GBK" w:hAnsi="宋体"/>
          <w:color w:val="000000"/>
          <w:szCs w:val="21"/>
        </w:rPr>
        <w:t>生</w:t>
      </w:r>
      <w:r>
        <w:rPr>
          <w:rFonts w:eastAsia="方正宋三_GBK"/>
          <w:color w:val="000000"/>
          <w:szCs w:val="21"/>
        </w:rPr>
        <w:t>11</w:t>
      </w:r>
      <w:r>
        <w:rPr>
          <w:rFonts w:eastAsia="方正宋三_GBK" w:hAnsi="宋体"/>
          <w:color w:val="000000"/>
          <w:szCs w:val="21"/>
        </w:rPr>
        <w:t>人。</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t>学院重视人才培养工作，现有</w:t>
      </w:r>
      <w:r>
        <w:rPr>
          <w:rFonts w:ascii="宋体" w:eastAsia="方正宋三_GBK" w:hAnsi="宋体"/>
          <w:szCs w:val="21"/>
        </w:rPr>
        <w:t>“</w:t>
      </w:r>
      <w:r>
        <w:rPr>
          <w:rFonts w:eastAsia="方正宋三_GBK" w:hAnsi="宋体"/>
          <w:szCs w:val="21"/>
        </w:rPr>
        <w:t>复变函数</w:t>
      </w:r>
      <w:r>
        <w:rPr>
          <w:rFonts w:ascii="宋体" w:eastAsia="方正宋三_GBK" w:hAnsi="宋体"/>
          <w:szCs w:val="21"/>
        </w:rPr>
        <w:t>”</w:t>
      </w:r>
      <w:r>
        <w:rPr>
          <w:rFonts w:eastAsia="方正宋三_GBK" w:hAnsi="宋体"/>
          <w:szCs w:val="21"/>
        </w:rPr>
        <w:t>、</w:t>
      </w:r>
      <w:r>
        <w:rPr>
          <w:rFonts w:ascii="宋体" w:eastAsia="方正宋三_GBK" w:hAnsi="宋体"/>
          <w:szCs w:val="21"/>
        </w:rPr>
        <w:t>“</w:t>
      </w:r>
      <w:r>
        <w:rPr>
          <w:rFonts w:eastAsia="方正宋三_GBK" w:hAnsi="宋体"/>
          <w:szCs w:val="21"/>
        </w:rPr>
        <w:t>计算方法</w:t>
      </w:r>
      <w:r>
        <w:rPr>
          <w:rFonts w:ascii="宋体" w:eastAsia="方正宋三_GBK" w:hAnsi="宋体"/>
          <w:szCs w:val="21"/>
        </w:rPr>
        <w:t>”</w:t>
      </w:r>
      <w:r>
        <w:rPr>
          <w:rFonts w:eastAsia="方正宋三_GBK" w:hAnsi="宋体"/>
          <w:szCs w:val="21"/>
        </w:rPr>
        <w:t>两门国家级精品视屏公开课程，</w:t>
      </w:r>
      <w:r>
        <w:rPr>
          <w:rFonts w:ascii="宋体" w:eastAsia="方正宋三_GBK" w:hAnsi="宋体"/>
          <w:szCs w:val="21"/>
        </w:rPr>
        <w:t>“</w:t>
      </w:r>
      <w:r>
        <w:rPr>
          <w:rFonts w:eastAsia="方正宋三_GBK" w:hAnsi="宋体"/>
          <w:szCs w:val="21"/>
        </w:rPr>
        <w:t>复变函数</w:t>
      </w:r>
      <w:r>
        <w:rPr>
          <w:rFonts w:ascii="宋体" w:eastAsia="方正宋三_GBK" w:hAnsi="宋体"/>
          <w:szCs w:val="21"/>
        </w:rPr>
        <w:t>”</w:t>
      </w:r>
      <w:r>
        <w:rPr>
          <w:rFonts w:eastAsia="方正宋三_GBK" w:hAnsi="宋体"/>
          <w:szCs w:val="21"/>
        </w:rPr>
        <w:t>、</w:t>
      </w:r>
      <w:r>
        <w:rPr>
          <w:rFonts w:ascii="宋体" w:eastAsia="方正宋三_GBK" w:hAnsi="宋体"/>
          <w:szCs w:val="21"/>
        </w:rPr>
        <w:t>“</w:t>
      </w:r>
      <w:r>
        <w:rPr>
          <w:rFonts w:eastAsia="方正宋三_GBK" w:hAnsi="宋体"/>
          <w:szCs w:val="21"/>
        </w:rPr>
        <w:t>计算方法</w:t>
      </w:r>
      <w:r>
        <w:rPr>
          <w:rFonts w:ascii="宋体" w:eastAsia="方正宋三_GBK" w:hAnsi="宋体"/>
          <w:szCs w:val="21"/>
        </w:rPr>
        <w:t>”</w:t>
      </w:r>
      <w:r>
        <w:rPr>
          <w:rFonts w:eastAsia="方正宋三_GBK" w:hAnsi="宋体"/>
          <w:szCs w:val="21"/>
        </w:rPr>
        <w:t>、</w:t>
      </w:r>
      <w:r>
        <w:rPr>
          <w:rFonts w:ascii="宋体" w:eastAsia="方正宋三_GBK" w:hAnsi="宋体"/>
          <w:szCs w:val="21"/>
        </w:rPr>
        <w:t>“</w:t>
      </w:r>
      <w:r>
        <w:rPr>
          <w:rFonts w:eastAsia="方正宋三_GBK" w:hAnsi="宋体"/>
          <w:szCs w:val="21"/>
        </w:rPr>
        <w:t>微积分</w:t>
      </w:r>
      <w:r>
        <w:rPr>
          <w:rFonts w:ascii="宋体" w:eastAsia="方正宋三_GBK" w:hAnsi="宋体"/>
          <w:szCs w:val="21"/>
        </w:rPr>
        <w:t>”</w:t>
      </w:r>
      <w:r>
        <w:rPr>
          <w:rFonts w:eastAsia="方正宋三_GBK" w:hAnsi="宋体"/>
          <w:szCs w:val="21"/>
        </w:rPr>
        <w:t>、</w:t>
      </w:r>
      <w:r>
        <w:rPr>
          <w:rFonts w:ascii="宋体" w:eastAsia="方正宋三_GBK" w:hAnsi="宋体"/>
          <w:szCs w:val="21"/>
        </w:rPr>
        <w:t>“</w:t>
      </w:r>
      <w:r>
        <w:rPr>
          <w:rFonts w:eastAsia="方正宋三_GBK" w:hAnsi="宋体"/>
          <w:szCs w:val="21"/>
        </w:rPr>
        <w:t>概率论与数理统计</w:t>
      </w:r>
      <w:r>
        <w:rPr>
          <w:rFonts w:ascii="宋体" w:eastAsia="方正宋三_GBK" w:hAnsi="宋体"/>
          <w:szCs w:val="21"/>
        </w:rPr>
        <w:t>”</w:t>
      </w:r>
      <w:r>
        <w:rPr>
          <w:rFonts w:eastAsia="方正宋三_GBK" w:hAnsi="宋体"/>
          <w:szCs w:val="21"/>
        </w:rPr>
        <w:t>、</w:t>
      </w:r>
      <w:r>
        <w:rPr>
          <w:rFonts w:ascii="宋体" w:eastAsia="方正宋三_GBK" w:hAnsi="宋体"/>
          <w:szCs w:val="21"/>
        </w:rPr>
        <w:t>“</w:t>
      </w:r>
      <w:r>
        <w:rPr>
          <w:rFonts w:eastAsia="方正宋三_GBK" w:hAnsi="宋体"/>
          <w:szCs w:val="21"/>
        </w:rPr>
        <w:t>数学分析</w:t>
      </w:r>
      <w:r>
        <w:rPr>
          <w:rFonts w:ascii="宋体" w:eastAsia="方正宋三_GBK" w:hAnsi="宋体"/>
          <w:szCs w:val="21"/>
        </w:rPr>
        <w:t>”</w:t>
      </w:r>
      <w:r>
        <w:rPr>
          <w:rFonts w:eastAsia="方正宋三_GBK"/>
          <w:szCs w:val="21"/>
        </w:rPr>
        <w:t>5</w:t>
      </w:r>
      <w:r>
        <w:rPr>
          <w:rFonts w:eastAsia="方正宋三_GBK" w:hAnsi="宋体"/>
          <w:szCs w:val="21"/>
        </w:rPr>
        <w:t>门省级精品课程。近年来，学院获得省部级教学、科研成果奖</w:t>
      </w:r>
      <w:r>
        <w:rPr>
          <w:rFonts w:eastAsia="方正宋三_GBK"/>
          <w:szCs w:val="21"/>
        </w:rPr>
        <w:t>5</w:t>
      </w:r>
      <w:r>
        <w:rPr>
          <w:rFonts w:eastAsia="方正宋三_GBK" w:hAnsi="宋体"/>
          <w:szCs w:val="21"/>
        </w:rPr>
        <w:t>项，国家自然科学二等奖一项，全国优秀博士论文提名奖</w:t>
      </w:r>
      <w:r>
        <w:rPr>
          <w:rFonts w:eastAsia="方正宋三_GBK"/>
          <w:szCs w:val="21"/>
        </w:rPr>
        <w:t>2</w:t>
      </w:r>
      <w:r>
        <w:rPr>
          <w:rFonts w:eastAsia="方正宋三_GBK" w:hAnsi="宋体"/>
          <w:szCs w:val="21"/>
        </w:rPr>
        <w:t>名，并在全国大学生数学竞赛与数模竞赛中取得优异成绩。</w:t>
      </w:r>
    </w:p>
    <w:p w:rsidR="007866B5" w:rsidRDefault="007866B5" w:rsidP="007866B5">
      <w:pPr>
        <w:adjustRightInd w:val="0"/>
        <w:snapToGrid w:val="0"/>
        <w:spacing w:line="336" w:lineRule="auto"/>
        <w:ind w:firstLineChars="200" w:firstLine="420"/>
        <w:rPr>
          <w:rFonts w:eastAsia="方正宋三_GBK"/>
          <w:color w:val="000000"/>
          <w:szCs w:val="21"/>
        </w:rPr>
      </w:pPr>
      <w:r>
        <w:rPr>
          <w:rFonts w:eastAsia="方正宋三_GBK" w:hAnsi="宋体"/>
          <w:color w:val="000000"/>
          <w:szCs w:val="21"/>
        </w:rPr>
        <w:t>数学与统计学院现有教职工</w:t>
      </w:r>
      <w:r>
        <w:rPr>
          <w:rFonts w:eastAsia="方正宋三_GBK"/>
          <w:color w:val="000000"/>
          <w:szCs w:val="21"/>
        </w:rPr>
        <w:t>112</w:t>
      </w:r>
      <w:r>
        <w:rPr>
          <w:rFonts w:eastAsia="方正宋三_GBK" w:hAnsi="宋体"/>
          <w:color w:val="000000"/>
          <w:szCs w:val="21"/>
        </w:rPr>
        <w:t>人，在编教师</w:t>
      </w:r>
      <w:r>
        <w:rPr>
          <w:rFonts w:eastAsia="方正宋三_GBK"/>
          <w:color w:val="000000"/>
          <w:szCs w:val="21"/>
        </w:rPr>
        <w:t>101</w:t>
      </w:r>
      <w:r>
        <w:rPr>
          <w:rFonts w:eastAsia="方正宋三_GBK" w:hAnsi="宋体"/>
          <w:color w:val="000000"/>
          <w:szCs w:val="21"/>
        </w:rPr>
        <w:t>人，其中博士生导师</w:t>
      </w:r>
      <w:r>
        <w:rPr>
          <w:rFonts w:eastAsia="方正宋三_GBK"/>
          <w:color w:val="000000"/>
          <w:szCs w:val="21"/>
        </w:rPr>
        <w:t>19</w:t>
      </w:r>
      <w:r>
        <w:rPr>
          <w:rFonts w:eastAsia="方正宋三_GBK" w:hAnsi="宋体"/>
          <w:color w:val="000000"/>
          <w:szCs w:val="21"/>
        </w:rPr>
        <w:t>人，教授</w:t>
      </w:r>
      <w:r>
        <w:rPr>
          <w:rFonts w:eastAsia="方正宋三_GBK"/>
          <w:color w:val="000000"/>
          <w:szCs w:val="21"/>
        </w:rPr>
        <w:t>24</w:t>
      </w:r>
      <w:r>
        <w:rPr>
          <w:rFonts w:eastAsia="方正宋三_GBK" w:hAnsi="宋体"/>
          <w:color w:val="000000"/>
          <w:szCs w:val="21"/>
        </w:rPr>
        <w:t>人，副教授</w:t>
      </w:r>
      <w:r>
        <w:rPr>
          <w:rFonts w:eastAsia="方正宋三_GBK"/>
          <w:color w:val="000000"/>
          <w:szCs w:val="21"/>
        </w:rPr>
        <w:t>37</w:t>
      </w:r>
      <w:r>
        <w:rPr>
          <w:rFonts w:eastAsia="方正宋三_GBK" w:hAnsi="宋体"/>
          <w:color w:val="000000"/>
          <w:szCs w:val="21"/>
        </w:rPr>
        <w:t>人，教师中有博士学位者占</w:t>
      </w:r>
      <w:r>
        <w:rPr>
          <w:rFonts w:eastAsia="方正宋三_GBK"/>
          <w:color w:val="000000"/>
          <w:szCs w:val="21"/>
        </w:rPr>
        <w:t>78%</w:t>
      </w:r>
      <w:r>
        <w:rPr>
          <w:rFonts w:eastAsia="方正宋三_GBK" w:hAnsi="宋体"/>
          <w:color w:val="000000"/>
          <w:szCs w:val="21"/>
        </w:rPr>
        <w:t>，有</w:t>
      </w:r>
      <w:r>
        <w:rPr>
          <w:rFonts w:ascii="宋体" w:eastAsia="方正宋三_GBK" w:hAnsi="宋体"/>
          <w:color w:val="000000"/>
          <w:szCs w:val="21"/>
        </w:rPr>
        <w:t>“</w:t>
      </w:r>
      <w:r>
        <w:rPr>
          <w:rFonts w:eastAsia="方正宋三_GBK" w:hAnsi="宋体"/>
          <w:color w:val="000000"/>
          <w:szCs w:val="21"/>
        </w:rPr>
        <w:t>千人计划</w:t>
      </w:r>
      <w:r>
        <w:rPr>
          <w:rFonts w:ascii="宋体" w:eastAsia="方正宋三_GBK" w:hAnsi="宋体"/>
          <w:color w:val="000000"/>
          <w:szCs w:val="21"/>
        </w:rPr>
        <w:t>”</w:t>
      </w:r>
      <w:r>
        <w:rPr>
          <w:rFonts w:eastAsia="方正宋三_GBK" w:hAnsi="宋体"/>
          <w:color w:val="000000"/>
          <w:szCs w:val="21"/>
        </w:rPr>
        <w:t>入选者</w:t>
      </w:r>
      <w:r>
        <w:rPr>
          <w:rFonts w:eastAsia="方正宋三_GBK"/>
          <w:color w:val="000000"/>
          <w:szCs w:val="21"/>
        </w:rPr>
        <w:t>1</w:t>
      </w:r>
      <w:r>
        <w:rPr>
          <w:rFonts w:eastAsia="方正宋三_GBK" w:hAnsi="宋体"/>
          <w:color w:val="000000"/>
          <w:szCs w:val="21"/>
        </w:rPr>
        <w:t>名、</w:t>
      </w:r>
      <w:r>
        <w:rPr>
          <w:rFonts w:ascii="宋体" w:eastAsia="方正宋三_GBK" w:hAnsi="宋体"/>
          <w:color w:val="000000"/>
          <w:szCs w:val="21"/>
        </w:rPr>
        <w:t>“</w:t>
      </w:r>
      <w:r>
        <w:rPr>
          <w:rFonts w:eastAsia="方正宋三_GBK" w:hAnsi="宋体"/>
          <w:color w:val="000000"/>
          <w:szCs w:val="21"/>
        </w:rPr>
        <w:t>外专千人</w:t>
      </w:r>
      <w:r>
        <w:rPr>
          <w:rFonts w:ascii="宋体" w:eastAsia="方正宋三_GBK" w:hAnsi="宋体"/>
          <w:color w:val="000000"/>
          <w:szCs w:val="21"/>
        </w:rPr>
        <w:t>”</w:t>
      </w:r>
      <w:r>
        <w:rPr>
          <w:rFonts w:eastAsia="方正宋三_GBK" w:hAnsi="宋体"/>
          <w:color w:val="000000"/>
          <w:szCs w:val="21"/>
        </w:rPr>
        <w:t>入选者</w:t>
      </w:r>
      <w:r>
        <w:rPr>
          <w:rFonts w:eastAsia="方正宋三_GBK"/>
          <w:color w:val="000000"/>
          <w:szCs w:val="21"/>
        </w:rPr>
        <w:t>2</w:t>
      </w:r>
      <w:r>
        <w:rPr>
          <w:rFonts w:eastAsia="方正宋三_GBK" w:hAnsi="宋体"/>
          <w:color w:val="000000"/>
          <w:szCs w:val="21"/>
        </w:rPr>
        <w:t>名、</w:t>
      </w:r>
      <w:r>
        <w:rPr>
          <w:rFonts w:ascii="宋体" w:eastAsia="方正宋三_GBK" w:hAnsi="宋体"/>
          <w:color w:val="000000"/>
          <w:szCs w:val="21"/>
        </w:rPr>
        <w:t>“</w:t>
      </w:r>
      <w:r>
        <w:rPr>
          <w:rFonts w:eastAsia="方正宋三_GBK" w:hAnsi="宋体"/>
          <w:color w:val="000000"/>
          <w:szCs w:val="21"/>
        </w:rPr>
        <w:t>青年千人</w:t>
      </w:r>
      <w:r>
        <w:rPr>
          <w:rFonts w:ascii="宋体" w:eastAsia="方正宋三_GBK" w:hAnsi="宋体"/>
          <w:color w:val="000000"/>
          <w:szCs w:val="21"/>
        </w:rPr>
        <w:t>”</w:t>
      </w:r>
      <w:r>
        <w:rPr>
          <w:rFonts w:eastAsia="方正宋三_GBK" w:hAnsi="宋体"/>
          <w:color w:val="000000"/>
          <w:szCs w:val="21"/>
        </w:rPr>
        <w:t>入选者</w:t>
      </w:r>
      <w:r>
        <w:rPr>
          <w:rFonts w:eastAsia="方正宋三_GBK"/>
          <w:color w:val="000000"/>
          <w:szCs w:val="21"/>
        </w:rPr>
        <w:t>1</w:t>
      </w:r>
      <w:r>
        <w:rPr>
          <w:rFonts w:eastAsia="方正宋三_GBK" w:hAnsi="宋体"/>
          <w:color w:val="000000"/>
          <w:szCs w:val="21"/>
        </w:rPr>
        <w:t>名、国家</w:t>
      </w:r>
      <w:r>
        <w:rPr>
          <w:rFonts w:ascii="宋体" w:eastAsia="方正宋三_GBK" w:hAnsi="宋体"/>
          <w:color w:val="000000"/>
          <w:szCs w:val="21"/>
        </w:rPr>
        <w:t>“</w:t>
      </w:r>
      <w:r>
        <w:rPr>
          <w:rFonts w:eastAsia="方正宋三_GBK" w:hAnsi="宋体"/>
          <w:color w:val="000000"/>
          <w:szCs w:val="21"/>
        </w:rPr>
        <w:t>杰出青年基金</w:t>
      </w:r>
      <w:r>
        <w:rPr>
          <w:rFonts w:ascii="宋体" w:eastAsia="方正宋三_GBK" w:hAnsi="宋体"/>
          <w:color w:val="000000"/>
          <w:szCs w:val="21"/>
        </w:rPr>
        <w:t>”</w:t>
      </w:r>
      <w:r>
        <w:rPr>
          <w:rFonts w:eastAsia="方正宋三_GBK" w:hAnsi="宋体"/>
          <w:color w:val="000000"/>
          <w:szCs w:val="21"/>
        </w:rPr>
        <w:t>获得者</w:t>
      </w:r>
      <w:r>
        <w:rPr>
          <w:rFonts w:eastAsia="方正宋三_GBK"/>
          <w:color w:val="000000"/>
          <w:szCs w:val="21"/>
        </w:rPr>
        <w:t>1</w:t>
      </w:r>
      <w:r>
        <w:rPr>
          <w:rFonts w:eastAsia="方正宋三_GBK" w:hAnsi="宋体"/>
          <w:color w:val="000000"/>
          <w:szCs w:val="21"/>
        </w:rPr>
        <w:t>名、国家</w:t>
      </w:r>
      <w:r>
        <w:rPr>
          <w:rFonts w:ascii="宋体" w:eastAsia="方正宋三_GBK" w:hAnsi="宋体"/>
          <w:color w:val="000000"/>
          <w:szCs w:val="21"/>
        </w:rPr>
        <w:t>“</w:t>
      </w:r>
      <w:r>
        <w:rPr>
          <w:rFonts w:eastAsia="方正宋三_GBK" w:hAnsi="宋体"/>
          <w:color w:val="000000"/>
          <w:szCs w:val="21"/>
        </w:rPr>
        <w:t>优秀青年基金</w:t>
      </w:r>
      <w:r>
        <w:rPr>
          <w:rFonts w:ascii="宋体" w:eastAsia="方正宋三_GBK" w:hAnsi="宋体"/>
          <w:color w:val="000000"/>
          <w:szCs w:val="21"/>
        </w:rPr>
        <w:t>”</w:t>
      </w:r>
      <w:r>
        <w:rPr>
          <w:rFonts w:eastAsia="方正宋三_GBK" w:hAnsi="宋体"/>
          <w:color w:val="000000"/>
          <w:szCs w:val="21"/>
        </w:rPr>
        <w:t>获得者</w:t>
      </w:r>
      <w:r>
        <w:rPr>
          <w:rFonts w:eastAsia="方正宋三_GBK"/>
          <w:color w:val="000000"/>
          <w:szCs w:val="21"/>
        </w:rPr>
        <w:t>3</w:t>
      </w:r>
      <w:r>
        <w:rPr>
          <w:rFonts w:eastAsia="方正宋三_GBK" w:hAnsi="宋体"/>
          <w:color w:val="000000"/>
          <w:szCs w:val="21"/>
        </w:rPr>
        <w:t>名、</w:t>
      </w:r>
      <w:r>
        <w:rPr>
          <w:rFonts w:ascii="宋体" w:eastAsia="方正宋三_GBK" w:hAnsi="宋体"/>
          <w:color w:val="000000"/>
          <w:szCs w:val="21"/>
        </w:rPr>
        <w:t>“</w:t>
      </w:r>
      <w:r>
        <w:rPr>
          <w:rFonts w:eastAsia="方正宋三_GBK" w:hAnsi="宋体"/>
          <w:color w:val="000000"/>
          <w:szCs w:val="21"/>
        </w:rPr>
        <w:t>新世纪百千万人才工程</w:t>
      </w:r>
      <w:r>
        <w:rPr>
          <w:rFonts w:ascii="宋体" w:eastAsia="方正宋三_GBK" w:hAnsi="宋体"/>
          <w:color w:val="000000"/>
          <w:szCs w:val="21"/>
        </w:rPr>
        <w:t>”</w:t>
      </w:r>
      <w:r>
        <w:rPr>
          <w:rFonts w:eastAsia="方正宋三_GBK" w:hAnsi="宋体"/>
          <w:color w:val="000000"/>
          <w:szCs w:val="21"/>
        </w:rPr>
        <w:t>入选者</w:t>
      </w:r>
      <w:r>
        <w:rPr>
          <w:rFonts w:eastAsia="方正宋三_GBK"/>
          <w:color w:val="000000"/>
          <w:szCs w:val="21"/>
        </w:rPr>
        <w:t>1</w:t>
      </w:r>
      <w:r>
        <w:rPr>
          <w:rFonts w:eastAsia="方正宋三_GBK" w:hAnsi="宋体"/>
          <w:color w:val="000000"/>
          <w:szCs w:val="21"/>
        </w:rPr>
        <w:t>名、教育部</w:t>
      </w:r>
      <w:r>
        <w:rPr>
          <w:rFonts w:ascii="宋体" w:eastAsia="方正宋三_GBK" w:hAnsi="宋体"/>
          <w:color w:val="000000"/>
          <w:szCs w:val="21"/>
        </w:rPr>
        <w:t>“</w:t>
      </w:r>
      <w:r>
        <w:rPr>
          <w:rFonts w:eastAsia="方正宋三_GBK"/>
          <w:color w:val="000000"/>
          <w:szCs w:val="21"/>
        </w:rPr>
        <w:t>（</w:t>
      </w:r>
      <w:r>
        <w:rPr>
          <w:rFonts w:eastAsia="方正宋三_GBK" w:hAnsi="宋体"/>
          <w:color w:val="000000"/>
          <w:szCs w:val="21"/>
        </w:rPr>
        <w:t>跨</w:t>
      </w:r>
      <w:r>
        <w:rPr>
          <w:rFonts w:eastAsia="方正宋三_GBK"/>
          <w:color w:val="000000"/>
          <w:szCs w:val="21"/>
        </w:rPr>
        <w:t>）</w:t>
      </w:r>
      <w:r>
        <w:rPr>
          <w:rFonts w:eastAsia="方正宋三_GBK" w:hAnsi="宋体"/>
          <w:color w:val="000000"/>
          <w:szCs w:val="21"/>
        </w:rPr>
        <w:t>新世纪优秀人才支持计划</w:t>
      </w:r>
      <w:r>
        <w:rPr>
          <w:rFonts w:ascii="宋体" w:eastAsia="方正宋三_GBK" w:hAnsi="宋体"/>
          <w:color w:val="000000"/>
          <w:szCs w:val="21"/>
        </w:rPr>
        <w:t>”</w:t>
      </w:r>
      <w:r>
        <w:rPr>
          <w:rFonts w:eastAsia="方正宋三_GBK" w:hAnsi="宋体"/>
          <w:color w:val="000000"/>
          <w:szCs w:val="21"/>
        </w:rPr>
        <w:t>入选者</w:t>
      </w:r>
      <w:r>
        <w:rPr>
          <w:rFonts w:eastAsia="方正宋三_GBK"/>
          <w:color w:val="000000"/>
          <w:szCs w:val="21"/>
        </w:rPr>
        <w:t xml:space="preserve"> 5 </w:t>
      </w:r>
      <w:r>
        <w:rPr>
          <w:rFonts w:eastAsia="方正宋三_GBK" w:hAnsi="宋体"/>
          <w:color w:val="000000"/>
          <w:szCs w:val="21"/>
        </w:rPr>
        <w:t>名、</w:t>
      </w:r>
      <w:r>
        <w:rPr>
          <w:rFonts w:ascii="宋体" w:eastAsia="方正宋三_GBK" w:hAnsi="宋体"/>
          <w:color w:val="000000"/>
          <w:szCs w:val="21"/>
        </w:rPr>
        <w:t>“</w:t>
      </w:r>
      <w:r>
        <w:rPr>
          <w:rFonts w:eastAsia="方正宋三_GBK" w:hAnsi="宋体"/>
          <w:color w:val="000000"/>
          <w:szCs w:val="21"/>
        </w:rPr>
        <w:t>高校青年教师奖</w:t>
      </w:r>
      <w:r>
        <w:rPr>
          <w:rFonts w:ascii="宋体" w:eastAsia="方正宋三_GBK" w:hAnsi="宋体"/>
          <w:color w:val="000000"/>
          <w:szCs w:val="21"/>
        </w:rPr>
        <w:t>”</w:t>
      </w:r>
      <w:r>
        <w:rPr>
          <w:rFonts w:eastAsia="方正宋三_GBK" w:hAnsi="宋体"/>
          <w:color w:val="000000"/>
          <w:szCs w:val="21"/>
        </w:rPr>
        <w:t>获得者</w:t>
      </w:r>
      <w:r>
        <w:rPr>
          <w:rFonts w:eastAsia="方正宋三_GBK"/>
          <w:color w:val="000000"/>
          <w:szCs w:val="21"/>
        </w:rPr>
        <w:t xml:space="preserve"> 1 </w:t>
      </w:r>
      <w:r>
        <w:rPr>
          <w:rFonts w:eastAsia="方正宋三_GBK" w:hAnsi="宋体"/>
          <w:color w:val="000000"/>
          <w:szCs w:val="21"/>
        </w:rPr>
        <w:t>名、</w:t>
      </w:r>
      <w:r>
        <w:rPr>
          <w:rFonts w:ascii="宋体" w:eastAsia="方正宋三_GBK" w:hAnsi="宋体"/>
          <w:color w:val="000000"/>
          <w:szCs w:val="21"/>
        </w:rPr>
        <w:t>“</w:t>
      </w:r>
      <w:r>
        <w:rPr>
          <w:rFonts w:eastAsia="方正宋三_GBK" w:hAnsi="宋体"/>
          <w:color w:val="000000"/>
          <w:szCs w:val="21"/>
        </w:rPr>
        <w:t>湖北省有突出贡献的中青年专家</w:t>
      </w:r>
      <w:r>
        <w:rPr>
          <w:rFonts w:ascii="宋体" w:eastAsia="方正宋三_GBK" w:hAnsi="宋体"/>
          <w:color w:val="000000"/>
          <w:szCs w:val="21"/>
        </w:rPr>
        <w:t>”</w:t>
      </w:r>
      <w:r>
        <w:rPr>
          <w:rFonts w:eastAsia="方正宋三_GBK"/>
          <w:color w:val="000000"/>
          <w:szCs w:val="21"/>
        </w:rPr>
        <w:t>2</w:t>
      </w:r>
      <w:r>
        <w:rPr>
          <w:rFonts w:eastAsia="方正宋三_GBK" w:hAnsi="宋体"/>
          <w:color w:val="000000"/>
          <w:szCs w:val="21"/>
        </w:rPr>
        <w:t>名、</w:t>
      </w:r>
      <w:r>
        <w:rPr>
          <w:rFonts w:ascii="宋体" w:eastAsia="方正宋三_GBK" w:hAnsi="宋体"/>
          <w:color w:val="000000"/>
          <w:szCs w:val="21"/>
        </w:rPr>
        <w:t>“</w:t>
      </w:r>
      <w:r>
        <w:rPr>
          <w:rFonts w:eastAsia="方正宋三_GBK" w:hAnsi="宋体"/>
          <w:color w:val="000000"/>
          <w:szCs w:val="21"/>
        </w:rPr>
        <w:t>湖北省楚天学者</w:t>
      </w:r>
      <w:r>
        <w:rPr>
          <w:rFonts w:ascii="宋体" w:eastAsia="方正宋三_GBK" w:hAnsi="宋体"/>
          <w:color w:val="000000"/>
          <w:szCs w:val="21"/>
        </w:rPr>
        <w:t>”</w:t>
      </w:r>
      <w:r>
        <w:rPr>
          <w:rFonts w:eastAsia="方正宋三_GBK"/>
          <w:color w:val="000000"/>
          <w:szCs w:val="21"/>
        </w:rPr>
        <w:t>3</w:t>
      </w:r>
      <w:r>
        <w:rPr>
          <w:rFonts w:eastAsia="方正宋三_GBK" w:hAnsi="宋体"/>
          <w:color w:val="000000"/>
          <w:szCs w:val="21"/>
        </w:rPr>
        <w:t>名以及</w:t>
      </w:r>
      <w:r>
        <w:rPr>
          <w:rFonts w:ascii="宋体" w:eastAsia="方正宋三_GBK" w:hAnsi="宋体"/>
          <w:color w:val="000000"/>
          <w:szCs w:val="21"/>
        </w:rPr>
        <w:t>“</w:t>
      </w:r>
      <w:r>
        <w:rPr>
          <w:rFonts w:eastAsia="方正宋三_GBK" w:hAnsi="宋体"/>
          <w:color w:val="000000"/>
          <w:szCs w:val="21"/>
        </w:rPr>
        <w:t>宝钢优秀教师奖</w:t>
      </w:r>
      <w:r>
        <w:rPr>
          <w:rFonts w:ascii="宋体" w:eastAsia="方正宋三_GBK" w:hAnsi="宋体"/>
          <w:color w:val="000000"/>
          <w:szCs w:val="21"/>
        </w:rPr>
        <w:t>”</w:t>
      </w:r>
      <w:r>
        <w:rPr>
          <w:rFonts w:eastAsia="方正宋三_GBK" w:hAnsi="宋体"/>
          <w:color w:val="000000"/>
          <w:szCs w:val="21"/>
        </w:rPr>
        <w:t>获得者</w:t>
      </w:r>
      <w:r>
        <w:rPr>
          <w:rFonts w:eastAsia="方正宋三_GBK"/>
          <w:color w:val="000000"/>
          <w:szCs w:val="21"/>
        </w:rPr>
        <w:t>4</w:t>
      </w:r>
      <w:r>
        <w:rPr>
          <w:rFonts w:eastAsia="方正宋三_GBK" w:hAnsi="宋体"/>
          <w:color w:val="000000"/>
          <w:szCs w:val="21"/>
        </w:rPr>
        <w:t>名。近五年来，数学与统计学院的学术团队共获科研经费</w:t>
      </w:r>
      <w:r>
        <w:rPr>
          <w:rFonts w:eastAsia="方正宋三_GBK"/>
          <w:color w:val="000000"/>
          <w:szCs w:val="21"/>
        </w:rPr>
        <w:t>2500</w:t>
      </w:r>
      <w:r>
        <w:rPr>
          <w:rFonts w:eastAsia="方正宋三_GBK" w:hAnsi="宋体"/>
          <w:color w:val="000000"/>
          <w:szCs w:val="21"/>
        </w:rPr>
        <w:t>余万元，获批国家自然科学基金项目</w:t>
      </w:r>
      <w:r>
        <w:rPr>
          <w:rFonts w:eastAsia="方正宋三_GBK"/>
          <w:color w:val="000000"/>
          <w:szCs w:val="21"/>
        </w:rPr>
        <w:t>51</w:t>
      </w:r>
      <w:r>
        <w:rPr>
          <w:rFonts w:eastAsia="方正宋三_GBK" w:hAnsi="宋体"/>
          <w:color w:val="000000"/>
          <w:szCs w:val="21"/>
        </w:rPr>
        <w:t>项，联合获批国家自然科学基金重大、重点项目</w:t>
      </w:r>
      <w:r>
        <w:rPr>
          <w:rFonts w:eastAsia="方正宋三_GBK"/>
          <w:color w:val="000000"/>
          <w:szCs w:val="21"/>
        </w:rPr>
        <w:t>3</w:t>
      </w:r>
      <w:r>
        <w:rPr>
          <w:rFonts w:eastAsia="方正宋三_GBK" w:hAnsi="宋体"/>
          <w:color w:val="000000"/>
          <w:szCs w:val="21"/>
        </w:rPr>
        <w:t>项；发表</w:t>
      </w:r>
      <w:r>
        <w:rPr>
          <w:rFonts w:eastAsia="方正宋三_GBK"/>
          <w:color w:val="000000"/>
          <w:szCs w:val="21"/>
        </w:rPr>
        <w:t>SCI</w:t>
      </w:r>
      <w:r>
        <w:rPr>
          <w:rFonts w:eastAsia="方正宋三_GBK" w:hAnsi="宋体"/>
          <w:color w:val="000000"/>
          <w:szCs w:val="21"/>
        </w:rPr>
        <w:t>收录论文</w:t>
      </w:r>
      <w:r>
        <w:rPr>
          <w:rFonts w:eastAsia="方正宋三_GBK"/>
          <w:color w:val="000000"/>
          <w:szCs w:val="21"/>
        </w:rPr>
        <w:t>490</w:t>
      </w:r>
      <w:r>
        <w:rPr>
          <w:rFonts w:eastAsia="方正宋三_GBK" w:hAnsi="宋体"/>
          <w:color w:val="000000"/>
          <w:szCs w:val="21"/>
        </w:rPr>
        <w:t>余篇；出版各类</w:t>
      </w:r>
      <w:r>
        <w:rPr>
          <w:rFonts w:eastAsia="方正宋三_GBK" w:hAnsi="宋体"/>
          <w:color w:val="000000"/>
          <w:szCs w:val="21"/>
        </w:rPr>
        <w:lastRenderedPageBreak/>
        <w:t>专著、教材</w:t>
      </w:r>
      <w:r>
        <w:rPr>
          <w:rFonts w:eastAsia="方正宋三_GBK"/>
          <w:color w:val="000000"/>
          <w:szCs w:val="21"/>
        </w:rPr>
        <w:t>30</w:t>
      </w:r>
      <w:r>
        <w:rPr>
          <w:rFonts w:eastAsia="方正宋三_GBK" w:hAnsi="宋体"/>
          <w:color w:val="000000"/>
          <w:szCs w:val="21"/>
        </w:rPr>
        <w:t>余部。</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t>数学学科的建设一直有着明确的思路和鲜明的特色，坚持以挖掘内部潜力与大力引进人才并举、基础研究与应用研究并重、积极开展对外交流与合作研究为方略。在基础研究方面，我们着重发展了分形几何、动力系统、泛函分析、随机分析、调和分析与偏微分方程等研究方向，目前这些方向凝聚了大批中青年学术骨干，并与美国加州大学、法国南巴黎大学、英国牛津大学等国内外一些研究机构保持着长期的合作关系。在应用研究方面，多年来，本学科计算数学、应用数学及金融数学等研究梯队一直与校内外工程、经济、金融学科等紧密结合，先后参与了国家自然科学基金重大研究计划项目</w:t>
      </w:r>
      <w:r>
        <w:rPr>
          <w:rFonts w:ascii="宋体" w:eastAsia="方正宋三_GBK" w:hAnsi="宋体"/>
          <w:szCs w:val="21"/>
        </w:rPr>
        <w:t>“</w:t>
      </w:r>
      <w:r>
        <w:rPr>
          <w:rFonts w:eastAsia="方正宋三_GBK" w:hAnsi="宋体"/>
          <w:szCs w:val="21"/>
        </w:rPr>
        <w:t>随机微分方程高性能数值算法理论与应用</w:t>
      </w:r>
      <w:r>
        <w:rPr>
          <w:rFonts w:ascii="宋体" w:eastAsia="方正宋三_GBK" w:hAnsi="宋体"/>
          <w:szCs w:val="21"/>
        </w:rPr>
        <w:t>”</w:t>
      </w:r>
      <w:r>
        <w:rPr>
          <w:rFonts w:eastAsia="方正宋三_GBK" w:hAnsi="宋体"/>
          <w:szCs w:val="21"/>
        </w:rPr>
        <w:t>、国家重点基础研究发展规划（</w:t>
      </w:r>
      <w:r>
        <w:rPr>
          <w:rFonts w:eastAsia="方正宋三_GBK"/>
          <w:szCs w:val="21"/>
        </w:rPr>
        <w:t xml:space="preserve">973 </w:t>
      </w:r>
      <w:r>
        <w:rPr>
          <w:rFonts w:eastAsia="方正宋三_GBK" w:hAnsi="宋体"/>
          <w:szCs w:val="21"/>
        </w:rPr>
        <w:t>计划）项目</w:t>
      </w:r>
      <w:r>
        <w:rPr>
          <w:rFonts w:ascii="宋体" w:eastAsia="方正宋三_GBK" w:hAnsi="宋体"/>
          <w:szCs w:val="21"/>
        </w:rPr>
        <w:t>“</w:t>
      </w:r>
      <w:r>
        <w:rPr>
          <w:rFonts w:eastAsia="方正宋三_GBK" w:hAnsi="宋体"/>
          <w:szCs w:val="21"/>
        </w:rPr>
        <w:t>二氧化碳减排、储存和资源化利用的基础研究</w:t>
      </w:r>
      <w:r>
        <w:rPr>
          <w:rFonts w:ascii="宋体" w:eastAsia="方正宋三_GBK" w:hAnsi="宋体"/>
          <w:szCs w:val="21"/>
        </w:rPr>
        <w:t>”</w:t>
      </w:r>
      <w:r>
        <w:rPr>
          <w:rFonts w:eastAsia="方正宋三_GBK" w:hAnsi="宋体"/>
          <w:szCs w:val="21"/>
        </w:rPr>
        <w:t>、国家高技术研究发展计划（</w:t>
      </w:r>
      <w:r>
        <w:rPr>
          <w:rFonts w:eastAsia="方正宋三_GBK"/>
          <w:szCs w:val="21"/>
        </w:rPr>
        <w:t xml:space="preserve">863 </w:t>
      </w:r>
      <w:r>
        <w:rPr>
          <w:rFonts w:eastAsia="方正宋三_GBK" w:hAnsi="宋体"/>
          <w:szCs w:val="21"/>
        </w:rPr>
        <w:t>计划）重点项目</w:t>
      </w:r>
      <w:r>
        <w:rPr>
          <w:rFonts w:ascii="宋体" w:eastAsia="方正宋三_GBK" w:hAnsi="宋体"/>
          <w:szCs w:val="21"/>
        </w:rPr>
        <w:t>“</w:t>
      </w:r>
      <w:r>
        <w:rPr>
          <w:rFonts w:eastAsia="方正宋三_GBK" w:hAnsi="宋体"/>
          <w:szCs w:val="21"/>
        </w:rPr>
        <w:t>机械系统动力学</w:t>
      </w:r>
      <w:r>
        <w:rPr>
          <w:rFonts w:eastAsia="方正宋三_GBK"/>
          <w:szCs w:val="21"/>
        </w:rPr>
        <w:t xml:space="preserve"> CAE </w:t>
      </w:r>
      <w:r>
        <w:rPr>
          <w:rFonts w:eastAsia="方正宋三_GBK" w:hAnsi="宋体"/>
          <w:szCs w:val="21"/>
        </w:rPr>
        <w:t>平台</w:t>
      </w:r>
      <w:r>
        <w:rPr>
          <w:rFonts w:ascii="宋体" w:eastAsia="方正宋三_GBK" w:hAnsi="宋体"/>
          <w:szCs w:val="21"/>
        </w:rPr>
        <w:t>”</w:t>
      </w:r>
      <w:r>
        <w:rPr>
          <w:rFonts w:eastAsia="方正宋三_GBK" w:hAnsi="宋体"/>
          <w:szCs w:val="21"/>
        </w:rPr>
        <w:t>等的研究。目前，数学一级学科博士点和数学一级学科硕士点在基础数学、计算数学、应用数学、概率论与数理统计和运筹学与控制论五个二级学科上均可招收研究生。</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t>统计学科伴随着数学学科的不断发展壮大，现已形成了数理统计、金融统计，统计计算和应用统计等数支稳定的学术梯队。在统计学基础理论研究方面，我们着重发展了数理统计、应用统计、统计计算等研究方向，目前这些方向凝聚了一批中青年学术骨干，出版了一批国内外卓有影响的统计理论成果，在统计学的主要方向如近代回归分析、多元统计分析、非参数统计等方面都有较强的研究力量。在应用研究方面，倚重我校多学科的优势，多年来应用统计和统计计算等研究团队一直与经济、医学、生物学及诸工程学科开展交叉科学研究，在金融统计、医学统计、生物统计及工程统计等领域的数学建模与数字仿真方面做出了系列应用性成果。</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t>应用统计硕士专业学位的目标是：培养具有良好的统计学背景，系统掌握数据采集、处理、分析和开发的知识与技能，具备熟练应用计算机处理和分析数据的能力，能够在国家机关、党群团体、企事业单位、社会组织及科研教学部门从事统计调查咨询、数据分析、决策支持和信息管理的高层次、应用型应用统计专门人才。主要研究方向有：统计建模与数据挖掘；信息统计；经济与金融统计分析；生物与医学统计分析；社会统计与管理统计；统计计算与应用软件。</w:t>
      </w:r>
    </w:p>
    <w:p w:rsidR="007866B5" w:rsidRDefault="007866B5" w:rsidP="007866B5">
      <w:pPr>
        <w:adjustRightInd w:val="0"/>
        <w:snapToGrid w:val="0"/>
        <w:spacing w:line="336" w:lineRule="auto"/>
        <w:ind w:firstLineChars="200" w:firstLine="422"/>
        <w:rPr>
          <w:rFonts w:eastAsia="方正宋三_GBK"/>
          <w:szCs w:val="21"/>
        </w:rPr>
      </w:pPr>
      <w:r>
        <w:rPr>
          <w:rFonts w:eastAsia="方正宋三_GBK" w:hAnsi="宋体"/>
          <w:b/>
          <w:szCs w:val="21"/>
        </w:rPr>
        <w:t>学制与招生计划：</w:t>
      </w:r>
      <w:r>
        <w:rPr>
          <w:rFonts w:eastAsia="方正宋三_GBK" w:hAnsi="宋体"/>
          <w:szCs w:val="21"/>
        </w:rPr>
        <w:t>数学和统计学学术型硕士生的培养年限为</w:t>
      </w:r>
      <w:r>
        <w:rPr>
          <w:rFonts w:eastAsia="方正宋三_GBK"/>
          <w:szCs w:val="21"/>
        </w:rPr>
        <w:t>3</w:t>
      </w:r>
      <w:r>
        <w:rPr>
          <w:rFonts w:eastAsia="方正宋三_GBK" w:hAnsi="宋体"/>
          <w:szCs w:val="21"/>
        </w:rPr>
        <w:t>年，应用统计专业硕士的培养年限为</w:t>
      </w:r>
      <w:r>
        <w:rPr>
          <w:rFonts w:eastAsia="方正宋三_GBK"/>
          <w:szCs w:val="21"/>
        </w:rPr>
        <w:t>2</w:t>
      </w:r>
      <w:r>
        <w:rPr>
          <w:rFonts w:eastAsia="方正宋三_GBK" w:hAnsi="宋体"/>
          <w:szCs w:val="21"/>
        </w:rPr>
        <w:t>年。</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t>我院数学、统计学学术型硕士以及应用统计专业硕士均按一级学科招生，考生在填报志愿时只填写一级学科代码（数学一级学科代码：</w:t>
      </w:r>
      <w:r>
        <w:rPr>
          <w:rFonts w:eastAsia="方正宋三_GBK"/>
          <w:szCs w:val="21"/>
        </w:rPr>
        <w:t>070100</w:t>
      </w:r>
      <w:r>
        <w:rPr>
          <w:rFonts w:eastAsia="方正宋三_GBK" w:hAnsi="宋体"/>
          <w:szCs w:val="21"/>
        </w:rPr>
        <w:t>，统计学一级学科代码：</w:t>
      </w:r>
      <w:r>
        <w:rPr>
          <w:rFonts w:eastAsia="方正宋三_GBK"/>
          <w:szCs w:val="21"/>
        </w:rPr>
        <w:t>071400</w:t>
      </w:r>
      <w:r>
        <w:rPr>
          <w:rFonts w:eastAsia="方正宋三_GBK" w:hAnsi="宋体"/>
          <w:szCs w:val="21"/>
        </w:rPr>
        <w:t>，应用统计专业学位代码：</w:t>
      </w:r>
      <w:r>
        <w:rPr>
          <w:rFonts w:eastAsia="方正宋三_GBK"/>
          <w:szCs w:val="21"/>
        </w:rPr>
        <w:t>025200</w:t>
      </w:r>
      <w:r>
        <w:rPr>
          <w:rFonts w:eastAsia="方正宋三_GBK" w:hAnsi="宋体"/>
          <w:szCs w:val="21"/>
        </w:rPr>
        <w:t>）。待考生被我院录取后，采取导师与学生双向选择方式确定二级学科专业、研究方向。</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lastRenderedPageBreak/>
        <w:t>我院</w:t>
      </w:r>
      <w:r>
        <w:rPr>
          <w:rFonts w:eastAsia="方正宋三_GBK"/>
          <w:szCs w:val="21"/>
        </w:rPr>
        <w:t>2018</w:t>
      </w:r>
      <w:r>
        <w:rPr>
          <w:rFonts w:eastAsia="方正宋三_GBK" w:hAnsi="宋体"/>
          <w:szCs w:val="21"/>
        </w:rPr>
        <w:t>年拟招收推荐免试硕士研究生（包括校内推免生）大约占全日制硕士研究生招生总数的</w:t>
      </w:r>
      <w:r>
        <w:rPr>
          <w:rFonts w:eastAsia="方正宋三_GBK"/>
          <w:szCs w:val="21"/>
        </w:rPr>
        <w:t>65%</w:t>
      </w:r>
      <w:r>
        <w:rPr>
          <w:rFonts w:eastAsia="方正宋三_GBK" w:hAnsi="宋体"/>
          <w:szCs w:val="21"/>
        </w:rPr>
        <w:t>（此比例据实际招生情况可有所调整）。</w:t>
      </w:r>
      <w:r>
        <w:rPr>
          <w:rFonts w:eastAsia="方正宋三_GBK"/>
          <w:szCs w:val="21"/>
        </w:rPr>
        <w:t>2018</w:t>
      </w:r>
      <w:r>
        <w:rPr>
          <w:rFonts w:eastAsia="方正宋三_GBK" w:hAnsi="宋体"/>
          <w:szCs w:val="21"/>
        </w:rPr>
        <w:t>年我院招生总指标在数学、统计学和应用统计专业硕士三个学科的分配比例大约为</w:t>
      </w:r>
      <w:r>
        <w:rPr>
          <w:rFonts w:eastAsia="方正宋三_GBK"/>
          <w:szCs w:val="21"/>
        </w:rPr>
        <w:t>70%</w:t>
      </w:r>
      <w:r>
        <w:rPr>
          <w:rFonts w:eastAsia="方正宋三_GBK" w:hAnsi="宋体"/>
          <w:szCs w:val="21"/>
        </w:rPr>
        <w:t>，</w:t>
      </w:r>
      <w:r>
        <w:rPr>
          <w:rFonts w:eastAsia="方正宋三_GBK"/>
          <w:szCs w:val="21"/>
        </w:rPr>
        <w:t>10%</w:t>
      </w:r>
      <w:r>
        <w:rPr>
          <w:rFonts w:eastAsia="方正宋三_GBK" w:hAnsi="宋体"/>
          <w:szCs w:val="21"/>
        </w:rPr>
        <w:t>和</w:t>
      </w:r>
      <w:r>
        <w:rPr>
          <w:rFonts w:eastAsia="方正宋三_GBK"/>
          <w:szCs w:val="21"/>
        </w:rPr>
        <w:t>20%</w:t>
      </w:r>
      <w:r>
        <w:rPr>
          <w:rFonts w:eastAsia="方正宋三_GBK" w:hAnsi="宋体"/>
          <w:szCs w:val="21"/>
        </w:rPr>
        <w:t>。</w:t>
      </w:r>
    </w:p>
    <w:p w:rsidR="007866B5" w:rsidRDefault="007866B5" w:rsidP="007866B5">
      <w:pPr>
        <w:adjustRightInd w:val="0"/>
        <w:snapToGrid w:val="0"/>
        <w:spacing w:line="336" w:lineRule="auto"/>
        <w:ind w:firstLineChars="200" w:firstLine="422"/>
        <w:rPr>
          <w:rFonts w:eastAsia="方正宋三_GBK"/>
          <w:b/>
          <w:szCs w:val="21"/>
        </w:rPr>
      </w:pPr>
      <w:r>
        <w:rPr>
          <w:rFonts w:eastAsia="方正宋三_GBK" w:hAnsi="宋体"/>
          <w:b/>
          <w:szCs w:val="21"/>
        </w:rPr>
        <w:t>对硕士生在校期间的资助：</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t>奖学金：</w:t>
      </w:r>
      <w:r>
        <w:rPr>
          <w:rFonts w:ascii="宋体" w:eastAsia="方正宋三_GBK" w:hAnsi="宋体"/>
          <w:szCs w:val="21"/>
        </w:rPr>
        <w:t>①</w:t>
      </w:r>
      <w:r>
        <w:rPr>
          <w:rFonts w:eastAsia="方正宋三_GBK" w:hAnsi="宋体"/>
          <w:szCs w:val="21"/>
        </w:rPr>
        <w:t>国家奖学金：对学习成绩优异、科研能力显著、发展潜力突出的硕士生，经学院评定一次性奖励</w:t>
      </w:r>
      <w:r>
        <w:rPr>
          <w:rFonts w:eastAsia="方正宋三_GBK"/>
          <w:szCs w:val="21"/>
        </w:rPr>
        <w:t>20000</w:t>
      </w:r>
      <w:r>
        <w:rPr>
          <w:rFonts w:eastAsia="方正宋三_GBK" w:hAnsi="宋体"/>
          <w:szCs w:val="21"/>
        </w:rPr>
        <w:t>元；</w:t>
      </w:r>
      <w:r>
        <w:rPr>
          <w:rFonts w:ascii="宋体" w:eastAsia="方正宋三_GBK" w:hAnsi="宋体"/>
          <w:szCs w:val="21"/>
        </w:rPr>
        <w:t>②</w:t>
      </w:r>
      <w:r>
        <w:rPr>
          <w:rFonts w:eastAsia="方正宋三_GBK" w:hAnsi="宋体"/>
          <w:szCs w:val="21"/>
        </w:rPr>
        <w:t>学业奖学金：在资助年限内的硕士生，每人每年可获得</w:t>
      </w:r>
      <w:r>
        <w:rPr>
          <w:rFonts w:eastAsia="方正宋三_GBK"/>
          <w:szCs w:val="21"/>
        </w:rPr>
        <w:t>4000</w:t>
      </w:r>
      <w:r>
        <w:rPr>
          <w:rFonts w:eastAsia="方正宋三_GBK" w:hAnsi="宋体"/>
          <w:szCs w:val="21"/>
        </w:rPr>
        <w:t>～</w:t>
      </w:r>
      <w:r>
        <w:rPr>
          <w:rFonts w:eastAsia="方正宋三_GBK"/>
          <w:szCs w:val="21"/>
        </w:rPr>
        <w:t>10000</w:t>
      </w:r>
      <w:r>
        <w:rPr>
          <w:rFonts w:eastAsia="方正宋三_GBK" w:hAnsi="宋体"/>
          <w:szCs w:val="21"/>
        </w:rPr>
        <w:t>元的资助，资助率</w:t>
      </w:r>
      <w:r>
        <w:rPr>
          <w:rFonts w:eastAsia="方正宋三_GBK"/>
          <w:szCs w:val="21"/>
        </w:rPr>
        <w:t>80%</w:t>
      </w:r>
      <w:r>
        <w:rPr>
          <w:rFonts w:eastAsia="方正宋三_GBK" w:hAnsi="宋体"/>
          <w:szCs w:val="21"/>
        </w:rPr>
        <w:t>；</w:t>
      </w:r>
      <w:r>
        <w:rPr>
          <w:rFonts w:ascii="宋体" w:eastAsia="方正宋三_GBK" w:hAnsi="宋体"/>
          <w:szCs w:val="21"/>
        </w:rPr>
        <w:t>③</w:t>
      </w:r>
      <w:r>
        <w:rPr>
          <w:rFonts w:eastAsia="方正宋三_GBK" w:hAnsi="宋体"/>
          <w:szCs w:val="21"/>
        </w:rPr>
        <w:t>其他各类奖学金，如知行奖学金等。</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t>助学金：硕士生由学校每月发放助学金</w:t>
      </w:r>
      <w:r>
        <w:rPr>
          <w:rFonts w:eastAsia="方正宋三_GBK"/>
          <w:szCs w:val="21"/>
        </w:rPr>
        <w:t>500</w:t>
      </w:r>
      <w:r>
        <w:rPr>
          <w:rFonts w:eastAsia="方正宋三_GBK" w:hAnsi="宋体"/>
          <w:szCs w:val="21"/>
        </w:rPr>
        <w:t>元。</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t>三助岗位：我院为硕士生提供</w:t>
      </w:r>
      <w:r>
        <w:rPr>
          <w:rFonts w:ascii="宋体" w:eastAsia="方正宋三_GBK" w:hAnsi="宋体"/>
          <w:szCs w:val="21"/>
        </w:rPr>
        <w:t>“</w:t>
      </w:r>
      <w:r>
        <w:rPr>
          <w:rFonts w:eastAsia="方正宋三_GBK" w:hAnsi="宋体"/>
          <w:szCs w:val="21"/>
        </w:rPr>
        <w:t>三助岗位</w:t>
      </w:r>
      <w:r>
        <w:rPr>
          <w:rFonts w:ascii="宋体" w:eastAsia="方正宋三_GBK" w:hAnsi="宋体"/>
          <w:szCs w:val="21"/>
        </w:rPr>
        <w:t>”</w:t>
      </w:r>
      <w:r>
        <w:rPr>
          <w:rFonts w:eastAsia="方正宋三_GBK" w:hAnsi="宋体"/>
          <w:szCs w:val="21"/>
        </w:rPr>
        <w:t>：一年级和二年级硕士生可以申请助教（管）岗位，每个助教（管）岗位每月发放</w:t>
      </w:r>
      <w:r>
        <w:rPr>
          <w:rFonts w:eastAsia="方正宋三_GBK"/>
          <w:szCs w:val="21"/>
        </w:rPr>
        <w:t>500</w:t>
      </w:r>
      <w:r>
        <w:rPr>
          <w:rFonts w:eastAsia="方正宋三_GBK" w:hAnsi="宋体"/>
          <w:szCs w:val="21"/>
        </w:rPr>
        <w:t>元生活补贴，覆盖率达到</w:t>
      </w:r>
      <w:r>
        <w:rPr>
          <w:rFonts w:eastAsia="方正宋三_GBK"/>
          <w:szCs w:val="21"/>
        </w:rPr>
        <w:t>80%</w:t>
      </w:r>
      <w:r>
        <w:rPr>
          <w:rFonts w:eastAsia="方正宋三_GBK" w:hAnsi="宋体"/>
          <w:szCs w:val="21"/>
        </w:rPr>
        <w:t>以上；高年级硕士生可以申请助研岗位，岗位设置和补贴额度由学院和导师根据具体情况确定。</w:t>
      </w:r>
    </w:p>
    <w:p w:rsidR="007866B5" w:rsidRDefault="007866B5" w:rsidP="007866B5">
      <w:pPr>
        <w:adjustRightInd w:val="0"/>
        <w:snapToGrid w:val="0"/>
        <w:spacing w:line="336" w:lineRule="auto"/>
        <w:ind w:firstLineChars="200" w:firstLine="420"/>
        <w:rPr>
          <w:rFonts w:eastAsia="方正宋三_GBK"/>
          <w:szCs w:val="21"/>
        </w:rPr>
      </w:pPr>
      <w:r>
        <w:rPr>
          <w:rFonts w:eastAsia="方正宋三_GBK" w:hAnsi="宋体"/>
          <w:szCs w:val="21"/>
        </w:rPr>
        <w:t>贷款资助办法按学校有关规定执行。</w:t>
      </w:r>
    </w:p>
    <w:p w:rsidR="007866B5" w:rsidRDefault="007866B5" w:rsidP="007866B5">
      <w:pPr>
        <w:spacing w:line="280" w:lineRule="exact"/>
        <w:ind w:firstLineChars="200" w:firstLine="420"/>
        <w:rPr>
          <w:rFonts w:eastAsia="方正宋三_GBK"/>
          <w:szCs w:val="21"/>
        </w:rPr>
      </w:pPr>
    </w:p>
    <w:p w:rsidR="007866B5" w:rsidRDefault="007866B5" w:rsidP="007866B5">
      <w:pPr>
        <w:spacing w:line="280" w:lineRule="exact"/>
        <w:rPr>
          <w:rFonts w:eastAsia="方正宋三_GBK"/>
          <w:szCs w:val="21"/>
        </w:rPr>
      </w:pPr>
    </w:p>
    <w:p w:rsidR="007866B5" w:rsidRDefault="007866B5" w:rsidP="007866B5">
      <w:pPr>
        <w:pStyle w:val="2"/>
        <w:rPr>
          <w:rFonts w:hint="eastAsia"/>
          <w:lang w:eastAsia="zh-CN"/>
        </w:rPr>
      </w:pPr>
      <w:r>
        <w:br w:type="page"/>
      </w:r>
      <w:bookmarkStart w:id="1" w:name="_Toc474858697"/>
      <w:bookmarkStart w:id="2" w:name="_Toc493661542"/>
      <w:proofErr w:type="spellStart"/>
      <w:r>
        <w:lastRenderedPageBreak/>
        <w:t>学术学位招生目录</w:t>
      </w:r>
      <w:bookmarkEnd w:id="1"/>
      <w:bookmarkEnd w:id="2"/>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60"/>
      </w:tblGrid>
      <w:tr w:rsidR="007866B5" w:rsidTr="00AE090D">
        <w:trPr>
          <w:tblHeader/>
        </w:trPr>
        <w:tc>
          <w:tcPr>
            <w:tcW w:w="3374" w:type="dxa"/>
            <w:tcBorders>
              <w:top w:val="single" w:sz="4" w:space="0" w:color="auto"/>
              <w:bottom w:val="single" w:sz="4" w:space="0" w:color="auto"/>
            </w:tcBorders>
          </w:tcPr>
          <w:p w:rsidR="007866B5" w:rsidRDefault="007866B5" w:rsidP="00AE090D">
            <w:pPr>
              <w:spacing w:line="280" w:lineRule="exact"/>
              <w:ind w:left="420" w:hangingChars="200" w:hanging="420"/>
              <w:jc w:val="center"/>
              <w:rPr>
                <w:rFonts w:eastAsia="方正宋三_GBK" w:hAnsi="宋体" w:hint="eastAsia"/>
                <w:szCs w:val="21"/>
              </w:rPr>
            </w:pPr>
            <w:r>
              <w:rPr>
                <w:rFonts w:eastAsia="方正宋三_GBK" w:hAnsi="宋体"/>
                <w:szCs w:val="21"/>
              </w:rPr>
              <w:t>学科专业名称及代码、</w:t>
            </w:r>
          </w:p>
          <w:p w:rsidR="007866B5" w:rsidRDefault="007866B5" w:rsidP="00AE090D">
            <w:pPr>
              <w:spacing w:line="280" w:lineRule="exact"/>
              <w:ind w:left="420" w:hangingChars="200" w:hanging="420"/>
              <w:jc w:val="center"/>
              <w:rPr>
                <w:szCs w:val="21"/>
              </w:rPr>
            </w:pPr>
            <w:r>
              <w:rPr>
                <w:rFonts w:eastAsia="方正宋三_GBK" w:hAnsi="宋体"/>
                <w:szCs w:val="21"/>
              </w:rPr>
              <w:t>研究方向</w:t>
            </w:r>
          </w:p>
        </w:tc>
        <w:tc>
          <w:tcPr>
            <w:tcW w:w="812" w:type="dxa"/>
            <w:tcBorders>
              <w:top w:val="single" w:sz="4" w:space="0" w:color="auto"/>
              <w:bottom w:val="single" w:sz="4" w:space="0" w:color="auto"/>
            </w:tcBorders>
          </w:tcPr>
          <w:p w:rsidR="007866B5" w:rsidRDefault="007866B5" w:rsidP="00AE090D">
            <w:pPr>
              <w:spacing w:line="280" w:lineRule="exact"/>
              <w:jc w:val="center"/>
              <w:rPr>
                <w:rFonts w:eastAsia="方正宋三_GBK" w:hAnsi="宋体" w:hint="eastAsia"/>
                <w:szCs w:val="21"/>
              </w:rPr>
            </w:pPr>
            <w:r>
              <w:rPr>
                <w:rFonts w:eastAsia="方正宋三_GBK" w:hAnsi="宋体"/>
                <w:szCs w:val="21"/>
              </w:rPr>
              <w:t>招生</w:t>
            </w:r>
          </w:p>
          <w:p w:rsidR="007866B5" w:rsidRDefault="007866B5" w:rsidP="00AE090D">
            <w:pPr>
              <w:spacing w:line="280" w:lineRule="exact"/>
              <w:jc w:val="center"/>
              <w:rPr>
                <w:szCs w:val="21"/>
              </w:rPr>
            </w:pPr>
            <w:r>
              <w:rPr>
                <w:rFonts w:eastAsia="方正宋三_GBK" w:hAnsi="宋体"/>
                <w:szCs w:val="21"/>
              </w:rPr>
              <w:t>人数</w:t>
            </w:r>
          </w:p>
        </w:tc>
        <w:tc>
          <w:tcPr>
            <w:tcW w:w="2981" w:type="dxa"/>
            <w:tcBorders>
              <w:top w:val="single" w:sz="4" w:space="0" w:color="auto"/>
              <w:bottom w:val="single" w:sz="4" w:space="0" w:color="auto"/>
            </w:tcBorders>
            <w:vAlign w:val="center"/>
          </w:tcPr>
          <w:p w:rsidR="007866B5" w:rsidRDefault="007866B5" w:rsidP="00AE090D">
            <w:pPr>
              <w:spacing w:line="280" w:lineRule="exact"/>
              <w:jc w:val="center"/>
              <w:rPr>
                <w:szCs w:val="21"/>
              </w:rPr>
            </w:pPr>
            <w:r>
              <w:rPr>
                <w:rFonts w:eastAsia="方正宋三_GBK" w:hAnsi="宋体"/>
                <w:szCs w:val="21"/>
              </w:rPr>
              <w:t>考试科目</w:t>
            </w:r>
          </w:p>
        </w:tc>
        <w:tc>
          <w:tcPr>
            <w:tcW w:w="1260" w:type="dxa"/>
            <w:tcBorders>
              <w:top w:val="single" w:sz="4" w:space="0" w:color="auto"/>
              <w:bottom w:val="single" w:sz="4" w:space="0" w:color="auto"/>
            </w:tcBorders>
            <w:vAlign w:val="center"/>
          </w:tcPr>
          <w:p w:rsidR="007866B5" w:rsidRDefault="007866B5" w:rsidP="00AE090D">
            <w:pPr>
              <w:spacing w:line="280" w:lineRule="exact"/>
              <w:jc w:val="center"/>
              <w:rPr>
                <w:szCs w:val="21"/>
              </w:rPr>
            </w:pPr>
            <w:r>
              <w:rPr>
                <w:rFonts w:eastAsia="方正宋三_GBK" w:hAnsi="宋体"/>
                <w:szCs w:val="21"/>
              </w:rPr>
              <w:t>备注</w:t>
            </w:r>
          </w:p>
        </w:tc>
      </w:tr>
      <w:tr w:rsidR="007866B5" w:rsidTr="00AE090D">
        <w:tc>
          <w:tcPr>
            <w:tcW w:w="3374" w:type="dxa"/>
            <w:tcBorders>
              <w:top w:val="single" w:sz="4" w:space="0" w:color="auto"/>
            </w:tcBorders>
          </w:tcPr>
          <w:p w:rsidR="007866B5" w:rsidRDefault="007866B5" w:rsidP="007866B5">
            <w:pPr>
              <w:pStyle w:val="3"/>
              <w:spacing w:before="156" w:after="156"/>
              <w:ind w:left="560" w:hangingChars="200" w:hanging="560"/>
              <w:rPr>
                <w:rFonts w:ascii="Times New Roman" w:hAnsi="Times New Roman"/>
              </w:rPr>
            </w:pPr>
            <w:bookmarkStart w:id="3" w:name="_Toc492648137"/>
            <w:bookmarkStart w:id="4" w:name="_Toc493661543"/>
            <w:r>
              <w:rPr>
                <w:rFonts w:ascii="Times New Roman" w:hAnsi="Times New Roman"/>
              </w:rPr>
              <w:t>011</w:t>
            </w:r>
            <w:r>
              <w:rPr>
                <w:rFonts w:ascii="Times New Roman" w:hAnsi="宋体"/>
              </w:rPr>
              <w:t>数学与统计学院</w:t>
            </w:r>
            <w:bookmarkEnd w:id="3"/>
            <w:bookmarkEnd w:id="4"/>
          </w:p>
        </w:tc>
        <w:tc>
          <w:tcPr>
            <w:tcW w:w="812" w:type="dxa"/>
            <w:tcBorders>
              <w:top w:val="single" w:sz="4" w:space="0" w:color="auto"/>
            </w:tcBorders>
          </w:tcPr>
          <w:p w:rsidR="007866B5" w:rsidRDefault="007866B5" w:rsidP="00AE090D">
            <w:pPr>
              <w:spacing w:line="280" w:lineRule="exact"/>
              <w:rPr>
                <w:szCs w:val="21"/>
              </w:rPr>
            </w:pPr>
          </w:p>
        </w:tc>
        <w:tc>
          <w:tcPr>
            <w:tcW w:w="2981" w:type="dxa"/>
            <w:tcBorders>
              <w:top w:val="single" w:sz="4" w:space="0" w:color="auto"/>
            </w:tcBorders>
          </w:tcPr>
          <w:p w:rsidR="007866B5" w:rsidRDefault="007866B5" w:rsidP="00AE090D">
            <w:pPr>
              <w:spacing w:line="280" w:lineRule="exact"/>
              <w:rPr>
                <w:szCs w:val="21"/>
              </w:rPr>
            </w:pPr>
          </w:p>
        </w:tc>
        <w:tc>
          <w:tcPr>
            <w:tcW w:w="1260" w:type="dxa"/>
            <w:tcBorders>
              <w:top w:val="single" w:sz="4" w:space="0" w:color="auto"/>
            </w:tcBorders>
          </w:tcPr>
          <w:p w:rsidR="007866B5" w:rsidRDefault="007866B5" w:rsidP="00AE090D">
            <w:pPr>
              <w:spacing w:line="280" w:lineRule="exact"/>
              <w:rPr>
                <w:szCs w:val="21"/>
              </w:rPr>
            </w:pPr>
          </w:p>
        </w:tc>
      </w:tr>
      <w:tr w:rsidR="007866B5" w:rsidTr="00AE090D">
        <w:tc>
          <w:tcPr>
            <w:tcW w:w="3374" w:type="dxa"/>
          </w:tcPr>
          <w:p w:rsidR="007866B5" w:rsidRDefault="007866B5" w:rsidP="00AE090D">
            <w:pPr>
              <w:pStyle w:val="4"/>
              <w:ind w:left="480" w:hangingChars="200" w:hanging="480"/>
            </w:pPr>
            <w:bookmarkStart w:id="5" w:name="_Toc492648139"/>
            <w:bookmarkStart w:id="6" w:name="_Toc493661544"/>
            <w:r>
              <w:t>070100</w:t>
            </w:r>
            <w:r>
              <w:rPr>
                <w:rFonts w:hAnsi="宋体"/>
              </w:rPr>
              <w:t>数学</w:t>
            </w:r>
            <w:bookmarkEnd w:id="5"/>
            <w:bookmarkEnd w:id="6"/>
          </w:p>
        </w:tc>
        <w:tc>
          <w:tcPr>
            <w:tcW w:w="812" w:type="dxa"/>
          </w:tcPr>
          <w:p w:rsidR="007866B5" w:rsidRPr="00913DA7" w:rsidRDefault="007866B5" w:rsidP="00AE090D">
            <w:pPr>
              <w:spacing w:line="280" w:lineRule="exact"/>
              <w:rPr>
                <w:color w:val="000000"/>
                <w:szCs w:val="21"/>
              </w:rPr>
            </w:pPr>
          </w:p>
        </w:tc>
        <w:tc>
          <w:tcPr>
            <w:tcW w:w="2981" w:type="dxa"/>
            <w:vMerge w:val="restart"/>
          </w:tcPr>
          <w:p w:rsidR="007866B5" w:rsidRPr="00913DA7" w:rsidRDefault="007866B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866B5" w:rsidRPr="00913DA7" w:rsidRDefault="007866B5"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7866B5" w:rsidRPr="00913DA7" w:rsidRDefault="007866B5"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601 </w:t>
            </w:r>
            <w:r w:rsidRPr="00913DA7">
              <w:rPr>
                <w:rFonts w:eastAsia="方正宋三_GBK" w:hAnsi="宋体"/>
                <w:color w:val="000000"/>
                <w:szCs w:val="21"/>
              </w:rPr>
              <w:t>数学分析</w:t>
            </w:r>
            <w:r w:rsidRPr="00913DA7">
              <w:rPr>
                <w:rFonts w:eastAsia="方正宋三_GBK"/>
                <w:color w:val="000000"/>
                <w:szCs w:val="21"/>
              </w:rPr>
              <w:t xml:space="preserve"> </w:t>
            </w:r>
          </w:p>
          <w:p w:rsidR="007866B5" w:rsidRPr="00913DA7" w:rsidRDefault="007866B5"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801 </w:t>
            </w:r>
            <w:r w:rsidRPr="00913DA7">
              <w:rPr>
                <w:rFonts w:eastAsia="方正宋三_GBK" w:hAnsi="宋体"/>
                <w:color w:val="000000"/>
                <w:szCs w:val="21"/>
              </w:rPr>
              <w:t>高等代数</w:t>
            </w:r>
          </w:p>
        </w:tc>
        <w:tc>
          <w:tcPr>
            <w:tcW w:w="1260" w:type="dxa"/>
          </w:tcPr>
          <w:p w:rsidR="007866B5" w:rsidRDefault="007866B5" w:rsidP="00AE090D">
            <w:pPr>
              <w:spacing w:line="280" w:lineRule="exact"/>
              <w:rPr>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数论与组合数学</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调和分析</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随机分析</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分形几何与动力系统</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拓扑学</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偏微分方程</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微分几何</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丢番图逼近</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应用泛函分析</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动力系统及其应用</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应用概率统计</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随机动力系统</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高性能计算</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偏微分方程数值解法及其应用</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常微分方程数值解法及其应用</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数值逼近</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非线性控制系统</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最优化理论与方法</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19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数理经济与金融数学</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pStyle w:val="4"/>
              <w:rPr>
                <w:color w:val="000000"/>
              </w:rPr>
            </w:pPr>
            <w:bookmarkStart w:id="7" w:name="_Toc492648140"/>
            <w:bookmarkStart w:id="8" w:name="_Toc493661545"/>
            <w:r w:rsidRPr="00913DA7">
              <w:rPr>
                <w:color w:val="000000"/>
              </w:rPr>
              <w:t>071400</w:t>
            </w:r>
            <w:r w:rsidRPr="00913DA7">
              <w:rPr>
                <w:rFonts w:hAnsi="宋体"/>
                <w:color w:val="000000"/>
              </w:rPr>
              <w:t>统计学</w:t>
            </w:r>
            <w:bookmarkEnd w:id="7"/>
            <w:bookmarkEnd w:id="8"/>
          </w:p>
        </w:tc>
        <w:tc>
          <w:tcPr>
            <w:tcW w:w="812" w:type="dxa"/>
          </w:tcPr>
          <w:p w:rsidR="007866B5" w:rsidRPr="00913DA7" w:rsidRDefault="007866B5" w:rsidP="00AE090D">
            <w:pPr>
              <w:spacing w:line="280" w:lineRule="exact"/>
              <w:rPr>
                <w:color w:val="000000"/>
                <w:szCs w:val="21"/>
              </w:rPr>
            </w:pPr>
          </w:p>
        </w:tc>
        <w:tc>
          <w:tcPr>
            <w:tcW w:w="2981" w:type="dxa"/>
            <w:vMerge w:val="restart"/>
          </w:tcPr>
          <w:p w:rsidR="007866B5" w:rsidRPr="00913DA7" w:rsidRDefault="007866B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866B5" w:rsidRPr="00913DA7" w:rsidRDefault="007866B5"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7866B5" w:rsidRPr="00913DA7" w:rsidRDefault="007866B5"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601 </w:t>
            </w:r>
            <w:r w:rsidRPr="00913DA7">
              <w:rPr>
                <w:rFonts w:eastAsia="方正宋三_GBK" w:hAnsi="宋体"/>
                <w:color w:val="000000"/>
                <w:szCs w:val="21"/>
              </w:rPr>
              <w:t>数学分析</w:t>
            </w:r>
            <w:r w:rsidRPr="00913DA7">
              <w:rPr>
                <w:rFonts w:eastAsia="方正宋三_GBK"/>
                <w:color w:val="000000"/>
                <w:szCs w:val="21"/>
              </w:rPr>
              <w:t xml:space="preserve"> </w:t>
            </w:r>
          </w:p>
          <w:p w:rsidR="007866B5" w:rsidRPr="00913DA7" w:rsidRDefault="007866B5"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801 </w:t>
            </w:r>
            <w:r w:rsidRPr="00913DA7">
              <w:rPr>
                <w:rFonts w:eastAsia="方正宋三_GBK" w:hAnsi="宋体"/>
                <w:color w:val="000000"/>
                <w:szCs w:val="21"/>
              </w:rPr>
              <w:t>高等代数</w:t>
            </w: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数理统计</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统计计算</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应用统计</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生物统计</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机器学习与模式识别</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Borders>
              <w:bottom w:val="single" w:sz="4" w:space="0" w:color="auto"/>
            </w:tcBorders>
          </w:tcPr>
          <w:p w:rsidR="007866B5" w:rsidRPr="00913DA7" w:rsidRDefault="007866B5" w:rsidP="00AE090D">
            <w:pPr>
              <w:spacing w:line="280" w:lineRule="exact"/>
              <w:ind w:left="420" w:hangingChars="200" w:hanging="420"/>
              <w:rPr>
                <w:rFonts w:eastAsia="方正宋三_GBK" w:hint="eastAsia"/>
                <w:color w:val="000000"/>
                <w:szCs w:val="21"/>
              </w:rPr>
            </w:pPr>
          </w:p>
          <w:p w:rsidR="007866B5" w:rsidRPr="00913DA7" w:rsidRDefault="007866B5" w:rsidP="00AE090D">
            <w:pPr>
              <w:spacing w:line="280" w:lineRule="exact"/>
              <w:ind w:left="420" w:hangingChars="200" w:hanging="420"/>
              <w:rPr>
                <w:rFonts w:eastAsia="方正宋三_GBK" w:hint="eastAsia"/>
                <w:color w:val="000000"/>
                <w:szCs w:val="21"/>
              </w:rPr>
            </w:pPr>
          </w:p>
          <w:p w:rsidR="007866B5" w:rsidRPr="00913DA7" w:rsidRDefault="007866B5" w:rsidP="00AE090D">
            <w:pPr>
              <w:spacing w:line="280" w:lineRule="exact"/>
              <w:ind w:left="420" w:hangingChars="200" w:hanging="420"/>
              <w:rPr>
                <w:rFonts w:eastAsia="方正宋三_GBK" w:hint="eastAsia"/>
                <w:color w:val="000000"/>
                <w:szCs w:val="21"/>
              </w:rPr>
            </w:pPr>
          </w:p>
          <w:p w:rsidR="007866B5" w:rsidRPr="00913DA7" w:rsidRDefault="007866B5" w:rsidP="00AE090D">
            <w:pPr>
              <w:spacing w:line="280" w:lineRule="exact"/>
              <w:ind w:left="420" w:hangingChars="200" w:hanging="420"/>
              <w:rPr>
                <w:rFonts w:eastAsia="方正宋三_GBK" w:hint="eastAsia"/>
                <w:color w:val="000000"/>
                <w:szCs w:val="21"/>
              </w:rPr>
            </w:pPr>
          </w:p>
          <w:p w:rsidR="007866B5" w:rsidRPr="00913DA7" w:rsidRDefault="007866B5" w:rsidP="00AE090D">
            <w:pPr>
              <w:spacing w:line="280" w:lineRule="exact"/>
              <w:ind w:left="420" w:hangingChars="200" w:hanging="420"/>
              <w:rPr>
                <w:rFonts w:eastAsia="方正宋三_GBK" w:hint="eastAsia"/>
                <w:color w:val="000000"/>
                <w:szCs w:val="21"/>
              </w:rPr>
            </w:pPr>
          </w:p>
          <w:p w:rsidR="007866B5" w:rsidRPr="00913DA7" w:rsidRDefault="007866B5" w:rsidP="00AE090D">
            <w:pPr>
              <w:spacing w:line="280" w:lineRule="exact"/>
              <w:ind w:left="420" w:hangingChars="200" w:hanging="420"/>
              <w:rPr>
                <w:rFonts w:eastAsia="方正宋三_GBK" w:hint="eastAsia"/>
                <w:color w:val="000000"/>
                <w:szCs w:val="21"/>
              </w:rPr>
            </w:pPr>
          </w:p>
          <w:p w:rsidR="007866B5" w:rsidRPr="00913DA7" w:rsidRDefault="007866B5" w:rsidP="00AE090D">
            <w:pPr>
              <w:spacing w:line="280" w:lineRule="exact"/>
              <w:ind w:left="420" w:hangingChars="200" w:hanging="420"/>
              <w:rPr>
                <w:rFonts w:eastAsia="方正宋三_GBK" w:hint="eastAsia"/>
                <w:color w:val="000000"/>
                <w:szCs w:val="21"/>
              </w:rPr>
            </w:pPr>
          </w:p>
          <w:p w:rsidR="007866B5" w:rsidRPr="00913DA7" w:rsidRDefault="007866B5" w:rsidP="00AE090D">
            <w:pPr>
              <w:spacing w:line="280" w:lineRule="exact"/>
              <w:ind w:left="420" w:hangingChars="200" w:hanging="420"/>
              <w:rPr>
                <w:rFonts w:hint="eastAsia"/>
                <w:color w:val="000000"/>
                <w:szCs w:val="21"/>
              </w:rPr>
            </w:pPr>
          </w:p>
        </w:tc>
        <w:tc>
          <w:tcPr>
            <w:tcW w:w="812" w:type="dxa"/>
            <w:tcBorders>
              <w:bottom w:val="single" w:sz="4" w:space="0" w:color="auto"/>
            </w:tcBorders>
          </w:tcPr>
          <w:p w:rsidR="007866B5" w:rsidRPr="00913DA7" w:rsidRDefault="007866B5" w:rsidP="00AE090D">
            <w:pPr>
              <w:spacing w:line="280" w:lineRule="exact"/>
              <w:rPr>
                <w:color w:val="000000"/>
                <w:szCs w:val="21"/>
              </w:rPr>
            </w:pPr>
          </w:p>
        </w:tc>
        <w:tc>
          <w:tcPr>
            <w:tcW w:w="2981" w:type="dxa"/>
            <w:tcBorders>
              <w:bottom w:val="single" w:sz="4" w:space="0" w:color="auto"/>
            </w:tcBorders>
          </w:tcPr>
          <w:p w:rsidR="007866B5" w:rsidRPr="00913DA7" w:rsidRDefault="007866B5" w:rsidP="00AE090D">
            <w:pPr>
              <w:spacing w:line="280" w:lineRule="exact"/>
              <w:rPr>
                <w:color w:val="000000"/>
                <w:szCs w:val="21"/>
              </w:rPr>
            </w:pPr>
          </w:p>
        </w:tc>
        <w:tc>
          <w:tcPr>
            <w:tcW w:w="1260" w:type="dxa"/>
            <w:tcBorders>
              <w:bottom w:val="single" w:sz="4" w:space="0" w:color="auto"/>
            </w:tcBorders>
          </w:tcPr>
          <w:p w:rsidR="007866B5" w:rsidRPr="00913DA7" w:rsidRDefault="007866B5" w:rsidP="00AE090D">
            <w:pPr>
              <w:spacing w:line="280" w:lineRule="exact"/>
              <w:rPr>
                <w:rFonts w:eastAsia="方正宋三_GBK"/>
                <w:color w:val="000000"/>
                <w:szCs w:val="21"/>
              </w:rPr>
            </w:pPr>
          </w:p>
        </w:tc>
      </w:tr>
    </w:tbl>
    <w:p w:rsidR="007866B5" w:rsidRPr="00913DA7" w:rsidRDefault="007866B5" w:rsidP="007866B5">
      <w:pPr>
        <w:spacing w:line="280" w:lineRule="exact"/>
        <w:rPr>
          <w:rFonts w:eastAsia="方正宋三_GBK"/>
          <w:color w:val="000000"/>
          <w:szCs w:val="21"/>
        </w:rPr>
      </w:pPr>
    </w:p>
    <w:p w:rsidR="007866B5" w:rsidRPr="00913DA7" w:rsidRDefault="007866B5" w:rsidP="007866B5">
      <w:pPr>
        <w:pStyle w:val="2"/>
        <w:rPr>
          <w:rFonts w:hint="eastAsia"/>
          <w:color w:val="000000"/>
          <w:lang w:eastAsia="zh-CN"/>
        </w:rPr>
      </w:pPr>
      <w:r w:rsidRPr="00913DA7">
        <w:rPr>
          <w:color w:val="000000"/>
          <w:lang w:eastAsia="zh-CN"/>
        </w:rPr>
        <w:br w:type="page"/>
      </w:r>
      <w:bookmarkStart w:id="9" w:name="_Toc493661546"/>
      <w:r w:rsidRPr="00913DA7">
        <w:rPr>
          <w:color w:val="000000"/>
          <w:lang w:eastAsia="zh-CN"/>
        </w:rPr>
        <w:lastRenderedPageBreak/>
        <w:t>专业</w:t>
      </w:r>
      <w:proofErr w:type="spellStart"/>
      <w:r w:rsidRPr="00913DA7">
        <w:rPr>
          <w:color w:val="000000"/>
        </w:rPr>
        <w:t>学位招生目录</w:t>
      </w:r>
      <w:bookmarkEnd w:id="9"/>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60"/>
      </w:tblGrid>
      <w:tr w:rsidR="007866B5" w:rsidRPr="00913DA7" w:rsidTr="00AE090D">
        <w:trPr>
          <w:tblHeader/>
        </w:trPr>
        <w:tc>
          <w:tcPr>
            <w:tcW w:w="3374" w:type="dxa"/>
            <w:tcBorders>
              <w:top w:val="single" w:sz="4" w:space="0" w:color="auto"/>
              <w:bottom w:val="single" w:sz="4" w:space="0" w:color="auto"/>
            </w:tcBorders>
            <w:vAlign w:val="center"/>
          </w:tcPr>
          <w:p w:rsidR="007866B5" w:rsidRPr="00913DA7" w:rsidRDefault="007866B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7866B5" w:rsidRPr="00913DA7" w:rsidRDefault="007866B5"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7866B5" w:rsidRPr="00913DA7" w:rsidRDefault="007866B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7866B5" w:rsidRPr="00913DA7" w:rsidRDefault="007866B5"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vAlign w:val="center"/>
          </w:tcPr>
          <w:p w:rsidR="007866B5" w:rsidRPr="00913DA7" w:rsidRDefault="007866B5" w:rsidP="00AE090D">
            <w:pPr>
              <w:spacing w:line="280" w:lineRule="exact"/>
              <w:jc w:val="center"/>
              <w:rPr>
                <w:color w:val="000000"/>
                <w:szCs w:val="21"/>
              </w:rPr>
            </w:pPr>
            <w:r w:rsidRPr="00913DA7">
              <w:rPr>
                <w:rFonts w:eastAsia="方正宋三_GBK" w:hAnsi="宋体"/>
                <w:color w:val="000000"/>
                <w:szCs w:val="21"/>
              </w:rPr>
              <w:t>考试科目</w:t>
            </w:r>
          </w:p>
        </w:tc>
        <w:tc>
          <w:tcPr>
            <w:tcW w:w="1260" w:type="dxa"/>
            <w:tcBorders>
              <w:top w:val="single" w:sz="4" w:space="0" w:color="auto"/>
              <w:bottom w:val="single" w:sz="4" w:space="0" w:color="auto"/>
            </w:tcBorders>
            <w:vAlign w:val="center"/>
          </w:tcPr>
          <w:p w:rsidR="007866B5" w:rsidRPr="00913DA7" w:rsidRDefault="007866B5" w:rsidP="00AE090D">
            <w:pPr>
              <w:spacing w:line="280" w:lineRule="exact"/>
              <w:jc w:val="center"/>
              <w:rPr>
                <w:color w:val="000000"/>
                <w:szCs w:val="21"/>
              </w:rPr>
            </w:pPr>
            <w:r w:rsidRPr="00913DA7">
              <w:rPr>
                <w:rFonts w:eastAsia="方正宋三_GBK" w:hAnsi="宋体"/>
                <w:color w:val="000000"/>
                <w:szCs w:val="21"/>
              </w:rPr>
              <w:t>备注</w:t>
            </w:r>
          </w:p>
        </w:tc>
      </w:tr>
      <w:tr w:rsidR="007866B5" w:rsidRPr="00913DA7" w:rsidTr="00AE090D">
        <w:tc>
          <w:tcPr>
            <w:tcW w:w="3374" w:type="dxa"/>
            <w:tcBorders>
              <w:top w:val="single" w:sz="4" w:space="0" w:color="auto"/>
              <w:bottom w:val="nil"/>
            </w:tcBorders>
          </w:tcPr>
          <w:p w:rsidR="007866B5" w:rsidRPr="00913DA7" w:rsidRDefault="007866B5" w:rsidP="007866B5">
            <w:pPr>
              <w:pStyle w:val="3"/>
              <w:spacing w:before="156" w:after="156"/>
              <w:rPr>
                <w:rFonts w:ascii="Times New Roman" w:hAnsi="Times New Roman"/>
                <w:color w:val="000000"/>
              </w:rPr>
            </w:pPr>
            <w:bookmarkStart w:id="10" w:name="_Toc493661547"/>
            <w:r w:rsidRPr="00913DA7">
              <w:rPr>
                <w:rFonts w:ascii="Times New Roman" w:hAnsi="Times New Roman"/>
                <w:color w:val="000000"/>
              </w:rPr>
              <w:t>011</w:t>
            </w:r>
            <w:r w:rsidRPr="00913DA7">
              <w:rPr>
                <w:rFonts w:ascii="Times New Roman" w:hAnsi="宋体"/>
                <w:color w:val="000000"/>
              </w:rPr>
              <w:t>数学与统计学院</w:t>
            </w:r>
            <w:bookmarkEnd w:id="10"/>
            <w:r w:rsidRPr="00913DA7">
              <w:rPr>
                <w:rFonts w:ascii="Times New Roman" w:hAnsi="Times New Roman"/>
                <w:color w:val="000000"/>
              </w:rPr>
              <w:t xml:space="preserve"> </w:t>
            </w:r>
          </w:p>
        </w:tc>
        <w:tc>
          <w:tcPr>
            <w:tcW w:w="812" w:type="dxa"/>
            <w:tcBorders>
              <w:top w:val="single" w:sz="4" w:space="0" w:color="auto"/>
              <w:bottom w:val="nil"/>
            </w:tcBorders>
          </w:tcPr>
          <w:p w:rsidR="007866B5" w:rsidRPr="00913DA7" w:rsidRDefault="007866B5" w:rsidP="00AE090D">
            <w:pPr>
              <w:spacing w:line="280" w:lineRule="exact"/>
              <w:rPr>
                <w:color w:val="000000"/>
                <w:szCs w:val="21"/>
              </w:rPr>
            </w:pPr>
          </w:p>
        </w:tc>
        <w:tc>
          <w:tcPr>
            <w:tcW w:w="2981" w:type="dxa"/>
            <w:tcBorders>
              <w:top w:val="single" w:sz="4" w:space="0" w:color="auto"/>
              <w:bottom w:val="nil"/>
            </w:tcBorders>
          </w:tcPr>
          <w:p w:rsidR="007866B5" w:rsidRPr="00913DA7" w:rsidRDefault="007866B5" w:rsidP="00AE090D">
            <w:pPr>
              <w:spacing w:line="280" w:lineRule="exact"/>
              <w:rPr>
                <w:color w:val="000000"/>
                <w:szCs w:val="21"/>
              </w:rPr>
            </w:pPr>
          </w:p>
        </w:tc>
        <w:tc>
          <w:tcPr>
            <w:tcW w:w="1260" w:type="dxa"/>
            <w:tcBorders>
              <w:top w:val="single" w:sz="4" w:space="0" w:color="auto"/>
              <w:bottom w:val="nil"/>
            </w:tcBorders>
          </w:tcPr>
          <w:p w:rsidR="007866B5" w:rsidRPr="00913DA7" w:rsidRDefault="007866B5" w:rsidP="00AE090D">
            <w:pPr>
              <w:spacing w:line="280" w:lineRule="exact"/>
              <w:rPr>
                <w:color w:val="000000"/>
                <w:szCs w:val="21"/>
              </w:rPr>
            </w:pPr>
          </w:p>
        </w:tc>
      </w:tr>
      <w:tr w:rsidR="007866B5" w:rsidRPr="00913DA7" w:rsidTr="00AE090D">
        <w:tc>
          <w:tcPr>
            <w:tcW w:w="3374" w:type="dxa"/>
            <w:tcBorders>
              <w:top w:val="nil"/>
              <w:bottom w:val="nil"/>
            </w:tcBorders>
          </w:tcPr>
          <w:p w:rsidR="007866B5" w:rsidRPr="00913DA7" w:rsidRDefault="007866B5" w:rsidP="00AE090D">
            <w:pPr>
              <w:pStyle w:val="4"/>
              <w:rPr>
                <w:color w:val="000000"/>
              </w:rPr>
            </w:pPr>
            <w:bookmarkStart w:id="11" w:name="_Toc492648138"/>
            <w:bookmarkStart w:id="12" w:name="_Toc493661548"/>
            <w:r w:rsidRPr="00913DA7">
              <w:rPr>
                <w:color w:val="000000"/>
              </w:rPr>
              <w:t>025200</w:t>
            </w:r>
            <w:r w:rsidRPr="00913DA7">
              <w:rPr>
                <w:rFonts w:hAnsi="宋体"/>
                <w:color w:val="000000"/>
              </w:rPr>
              <w:t>应用统计</w:t>
            </w:r>
            <w:bookmarkEnd w:id="11"/>
            <w:bookmarkEnd w:id="12"/>
          </w:p>
        </w:tc>
        <w:tc>
          <w:tcPr>
            <w:tcW w:w="812" w:type="dxa"/>
            <w:tcBorders>
              <w:top w:val="nil"/>
              <w:bottom w:val="nil"/>
            </w:tcBorders>
          </w:tcPr>
          <w:p w:rsidR="007866B5" w:rsidRPr="00913DA7" w:rsidRDefault="007866B5" w:rsidP="00AE090D">
            <w:pPr>
              <w:spacing w:line="280" w:lineRule="exact"/>
              <w:rPr>
                <w:color w:val="000000"/>
                <w:szCs w:val="21"/>
              </w:rPr>
            </w:pPr>
          </w:p>
        </w:tc>
        <w:tc>
          <w:tcPr>
            <w:tcW w:w="2981" w:type="dxa"/>
            <w:vMerge w:val="restart"/>
            <w:tcBorders>
              <w:top w:val="nil"/>
              <w:bottom w:val="nil"/>
            </w:tcBorders>
          </w:tcPr>
          <w:p w:rsidR="007866B5" w:rsidRPr="00913DA7" w:rsidRDefault="007866B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866B5" w:rsidRPr="00913DA7" w:rsidRDefault="007866B5"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7866B5" w:rsidRPr="00913DA7" w:rsidRDefault="007866B5"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7866B5" w:rsidRPr="00913DA7" w:rsidRDefault="007866B5"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432 </w:t>
            </w:r>
            <w:r w:rsidRPr="00913DA7">
              <w:rPr>
                <w:rFonts w:eastAsia="方正宋三_GBK" w:hAnsi="宋体"/>
                <w:color w:val="000000"/>
                <w:szCs w:val="21"/>
              </w:rPr>
              <w:t>统计学</w:t>
            </w:r>
          </w:p>
        </w:tc>
        <w:tc>
          <w:tcPr>
            <w:tcW w:w="1260" w:type="dxa"/>
            <w:tcBorders>
              <w:top w:val="nil"/>
              <w:bottom w:val="nil"/>
            </w:tcBorders>
          </w:tcPr>
          <w:p w:rsidR="007866B5" w:rsidRPr="00913DA7" w:rsidRDefault="007866B5" w:rsidP="00AE090D">
            <w:pPr>
              <w:spacing w:line="280" w:lineRule="exact"/>
              <w:rPr>
                <w:color w:val="000000"/>
                <w:szCs w:val="21"/>
              </w:rPr>
            </w:pPr>
          </w:p>
        </w:tc>
      </w:tr>
      <w:tr w:rsidR="007866B5" w:rsidRPr="00913DA7" w:rsidTr="00AE090D">
        <w:tc>
          <w:tcPr>
            <w:tcW w:w="3374" w:type="dxa"/>
            <w:tcBorders>
              <w:top w:val="nil"/>
            </w:tcBorders>
          </w:tcPr>
          <w:p w:rsidR="007866B5" w:rsidRPr="00913DA7" w:rsidRDefault="007866B5" w:rsidP="00AE090D">
            <w:pPr>
              <w:spacing w:line="280"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统计建模与数据挖掘</w:t>
            </w:r>
          </w:p>
        </w:tc>
        <w:tc>
          <w:tcPr>
            <w:tcW w:w="812" w:type="dxa"/>
            <w:tcBorders>
              <w:top w:val="nil"/>
            </w:tcBorders>
          </w:tcPr>
          <w:p w:rsidR="007866B5" w:rsidRPr="00913DA7" w:rsidRDefault="007866B5" w:rsidP="00AE090D">
            <w:pPr>
              <w:spacing w:line="280" w:lineRule="exact"/>
              <w:rPr>
                <w:color w:val="000000"/>
                <w:szCs w:val="21"/>
              </w:rPr>
            </w:pPr>
          </w:p>
        </w:tc>
        <w:tc>
          <w:tcPr>
            <w:tcW w:w="2981" w:type="dxa"/>
            <w:vMerge/>
            <w:tcBorders>
              <w:top w:val="nil"/>
            </w:tcBorders>
          </w:tcPr>
          <w:p w:rsidR="007866B5" w:rsidRPr="00913DA7" w:rsidRDefault="007866B5" w:rsidP="00AE090D">
            <w:pPr>
              <w:spacing w:line="280" w:lineRule="exact"/>
              <w:rPr>
                <w:color w:val="000000"/>
                <w:szCs w:val="21"/>
              </w:rPr>
            </w:pPr>
          </w:p>
        </w:tc>
        <w:tc>
          <w:tcPr>
            <w:tcW w:w="1260" w:type="dxa"/>
            <w:tcBorders>
              <w:top w:val="nil"/>
            </w:tcBorders>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信息统计</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经济与金融统计分析</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生物与医学统计分析</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社会统计与管理统计</w:t>
            </w:r>
          </w:p>
        </w:tc>
        <w:tc>
          <w:tcPr>
            <w:tcW w:w="812" w:type="dxa"/>
          </w:tcPr>
          <w:p w:rsidR="007866B5" w:rsidRPr="00913DA7" w:rsidRDefault="007866B5" w:rsidP="00AE090D">
            <w:pPr>
              <w:spacing w:line="280" w:lineRule="exact"/>
              <w:rPr>
                <w:color w:val="000000"/>
                <w:szCs w:val="21"/>
              </w:rPr>
            </w:pPr>
          </w:p>
        </w:tc>
        <w:tc>
          <w:tcPr>
            <w:tcW w:w="2981" w:type="dxa"/>
            <w:vMerge/>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RPr="00913DA7" w:rsidTr="00AE090D">
        <w:tc>
          <w:tcPr>
            <w:tcW w:w="3374" w:type="dxa"/>
          </w:tcPr>
          <w:p w:rsidR="007866B5" w:rsidRPr="00913DA7" w:rsidRDefault="007866B5" w:rsidP="00AE090D">
            <w:pPr>
              <w:spacing w:line="280" w:lineRule="exact"/>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统计计算及应用软件</w:t>
            </w:r>
          </w:p>
        </w:tc>
        <w:tc>
          <w:tcPr>
            <w:tcW w:w="812" w:type="dxa"/>
          </w:tcPr>
          <w:p w:rsidR="007866B5" w:rsidRPr="00913DA7" w:rsidRDefault="007866B5" w:rsidP="00AE090D">
            <w:pPr>
              <w:spacing w:line="280" w:lineRule="exact"/>
              <w:rPr>
                <w:color w:val="000000"/>
                <w:szCs w:val="21"/>
              </w:rPr>
            </w:pPr>
          </w:p>
        </w:tc>
        <w:tc>
          <w:tcPr>
            <w:tcW w:w="2981" w:type="dxa"/>
          </w:tcPr>
          <w:p w:rsidR="007866B5" w:rsidRPr="00913DA7" w:rsidRDefault="007866B5" w:rsidP="00AE090D">
            <w:pPr>
              <w:spacing w:line="280" w:lineRule="exact"/>
              <w:rPr>
                <w:color w:val="000000"/>
                <w:szCs w:val="21"/>
              </w:rPr>
            </w:pPr>
          </w:p>
        </w:tc>
        <w:tc>
          <w:tcPr>
            <w:tcW w:w="1260" w:type="dxa"/>
          </w:tcPr>
          <w:p w:rsidR="007866B5" w:rsidRPr="00913DA7" w:rsidRDefault="007866B5" w:rsidP="00AE090D">
            <w:pPr>
              <w:spacing w:line="280" w:lineRule="exact"/>
              <w:rPr>
                <w:color w:val="000000"/>
                <w:szCs w:val="21"/>
              </w:rPr>
            </w:pPr>
          </w:p>
        </w:tc>
      </w:tr>
      <w:tr w:rsidR="007866B5" w:rsidTr="00AE090D">
        <w:tc>
          <w:tcPr>
            <w:tcW w:w="3374" w:type="dxa"/>
          </w:tcPr>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eastAsia="方正宋三_GBK" w:hint="eastAsia"/>
                <w:color w:val="FF0000"/>
                <w:szCs w:val="21"/>
              </w:rPr>
            </w:pPr>
          </w:p>
          <w:p w:rsidR="007866B5" w:rsidRDefault="007866B5" w:rsidP="00AE090D">
            <w:pPr>
              <w:spacing w:line="280" w:lineRule="exact"/>
              <w:rPr>
                <w:rFonts w:hint="eastAsia"/>
                <w:color w:val="FF0000"/>
                <w:szCs w:val="21"/>
              </w:rPr>
            </w:pPr>
          </w:p>
        </w:tc>
        <w:tc>
          <w:tcPr>
            <w:tcW w:w="812" w:type="dxa"/>
          </w:tcPr>
          <w:p w:rsidR="007866B5" w:rsidRDefault="007866B5" w:rsidP="00AE090D">
            <w:pPr>
              <w:spacing w:line="280" w:lineRule="exact"/>
              <w:rPr>
                <w:szCs w:val="21"/>
              </w:rPr>
            </w:pPr>
          </w:p>
        </w:tc>
        <w:tc>
          <w:tcPr>
            <w:tcW w:w="2981" w:type="dxa"/>
          </w:tcPr>
          <w:p w:rsidR="007866B5" w:rsidRDefault="007866B5" w:rsidP="00AE090D">
            <w:pPr>
              <w:spacing w:line="280" w:lineRule="exact"/>
              <w:rPr>
                <w:szCs w:val="21"/>
              </w:rPr>
            </w:pPr>
          </w:p>
        </w:tc>
        <w:tc>
          <w:tcPr>
            <w:tcW w:w="1260" w:type="dxa"/>
          </w:tcPr>
          <w:p w:rsidR="007866B5" w:rsidRDefault="007866B5" w:rsidP="00AE090D">
            <w:pPr>
              <w:spacing w:line="280" w:lineRule="exact"/>
              <w:rPr>
                <w:rFonts w:eastAsia="方正宋三_GBK"/>
                <w:szCs w:val="21"/>
              </w:rPr>
            </w:pPr>
          </w:p>
        </w:tc>
      </w:tr>
    </w:tbl>
    <w:p w:rsidR="007866B5" w:rsidRDefault="007866B5" w:rsidP="007866B5">
      <w:pPr>
        <w:spacing w:line="280" w:lineRule="exact"/>
        <w:rPr>
          <w:rFonts w:eastAsia="方正宋三_GBK"/>
          <w:szCs w:val="21"/>
        </w:rPr>
      </w:pPr>
    </w:p>
    <w:p w:rsidR="00EA18A4" w:rsidRPr="007866B5" w:rsidRDefault="00EA18A4"/>
    <w:sectPr w:rsidR="00EA18A4" w:rsidRPr="007866B5"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5B5" w:rsidRDefault="00F335B5" w:rsidP="007866B5">
      <w:r>
        <w:separator/>
      </w:r>
    </w:p>
  </w:endnote>
  <w:endnote w:type="continuationSeparator" w:id="0">
    <w:p w:rsidR="00F335B5" w:rsidRDefault="00F335B5" w:rsidP="00786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5B5" w:rsidRDefault="00F335B5" w:rsidP="007866B5">
      <w:r>
        <w:separator/>
      </w:r>
    </w:p>
  </w:footnote>
  <w:footnote w:type="continuationSeparator" w:id="0">
    <w:p w:rsidR="00F335B5" w:rsidRDefault="00F335B5" w:rsidP="00786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66B5"/>
    <w:rsid w:val="007866B5"/>
    <w:rsid w:val="00EA18A4"/>
    <w:rsid w:val="00F33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B5"/>
    <w:pPr>
      <w:widowControl w:val="0"/>
      <w:jc w:val="both"/>
    </w:pPr>
    <w:rPr>
      <w:rFonts w:ascii="Times New Roman" w:eastAsia="宋体" w:hAnsi="Times New Roman" w:cs="Times New Roman"/>
      <w:szCs w:val="24"/>
    </w:rPr>
  </w:style>
  <w:style w:type="paragraph" w:styleId="1">
    <w:name w:val="heading 1"/>
    <w:basedOn w:val="a"/>
    <w:next w:val="a"/>
    <w:link w:val="1Char"/>
    <w:qFormat/>
    <w:rsid w:val="007866B5"/>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7866B5"/>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7866B5"/>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7866B5"/>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866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7866B5"/>
    <w:rPr>
      <w:sz w:val="18"/>
      <w:szCs w:val="18"/>
    </w:rPr>
  </w:style>
  <w:style w:type="paragraph" w:styleId="a5">
    <w:name w:val="footer"/>
    <w:basedOn w:val="a"/>
    <w:link w:val="Char0"/>
    <w:uiPriority w:val="99"/>
    <w:semiHidden/>
    <w:unhideWhenUsed/>
    <w:rsid w:val="007866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7866B5"/>
    <w:rPr>
      <w:sz w:val="18"/>
      <w:szCs w:val="18"/>
    </w:rPr>
  </w:style>
  <w:style w:type="character" w:customStyle="1" w:styleId="1Char">
    <w:name w:val="标题 1 Char"/>
    <w:basedOn w:val="a1"/>
    <w:link w:val="1"/>
    <w:qFormat/>
    <w:rsid w:val="007866B5"/>
    <w:rPr>
      <w:rFonts w:ascii="Times New Roman" w:eastAsia="黑体" w:hAnsi="Times New Roman" w:cs="Times New Roman"/>
      <w:kern w:val="44"/>
      <w:sz w:val="32"/>
      <w:szCs w:val="32"/>
      <w:lang/>
    </w:rPr>
  </w:style>
  <w:style w:type="character" w:customStyle="1" w:styleId="2Char">
    <w:name w:val="标题 2 Char"/>
    <w:basedOn w:val="a1"/>
    <w:link w:val="2"/>
    <w:rsid w:val="007866B5"/>
    <w:rPr>
      <w:rFonts w:ascii="Calibri" w:eastAsia="黑体" w:hAnsi="Calibri" w:cs="Times New Roman"/>
      <w:sz w:val="28"/>
      <w:szCs w:val="28"/>
      <w:lang/>
    </w:rPr>
  </w:style>
  <w:style w:type="character" w:customStyle="1" w:styleId="3Char">
    <w:name w:val="标题 3 Char"/>
    <w:basedOn w:val="a1"/>
    <w:link w:val="3"/>
    <w:rsid w:val="007866B5"/>
    <w:rPr>
      <w:rFonts w:ascii="Calibri" w:eastAsia="黑体" w:hAnsi="Calibri" w:cs="Times New Roman"/>
      <w:bCs/>
      <w:kern w:val="0"/>
      <w:sz w:val="28"/>
      <w:szCs w:val="28"/>
      <w:lang/>
    </w:rPr>
  </w:style>
  <w:style w:type="character" w:customStyle="1" w:styleId="4Char">
    <w:name w:val="标题 4 Char"/>
    <w:basedOn w:val="a1"/>
    <w:link w:val="4"/>
    <w:rsid w:val="007866B5"/>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7866B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3090</Characters>
  <Application>Microsoft Office Word</Application>
  <DocSecurity>0</DocSecurity>
  <Lines>25</Lines>
  <Paragraphs>7</Paragraphs>
  <ScaleCrop>false</ScaleCrop>
  <Company>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2017-09-25T08:15:00Z</dcterms:created>
  <dcterms:modified xsi:type="dcterms:W3CDTF">2017-09-25T08:15:00Z</dcterms:modified>
</cp:coreProperties>
</file>