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B7" w:rsidRDefault="00AF2AB7">
      <w:pPr>
        <w:widowControl/>
        <w:spacing w:line="270" w:lineRule="atLeast"/>
        <w:jc w:val="left"/>
        <w:rPr>
          <w:rFonts w:ascii="Arial" w:hAnsi="Arial" w:cs="Arial"/>
          <w:vanish/>
          <w:color w:val="333333"/>
          <w:kern w:val="0"/>
          <w:sz w:val="28"/>
          <w:szCs w:val="28"/>
        </w:rPr>
      </w:pPr>
    </w:p>
    <w:p w:rsidR="00AF2AB7" w:rsidRDefault="00AF2AB7">
      <w:pPr>
        <w:widowControl/>
        <w:spacing w:line="270" w:lineRule="atLeast"/>
        <w:jc w:val="left"/>
        <w:rPr>
          <w:rFonts w:ascii="Arial" w:hAnsi="Arial" w:cs="Arial"/>
          <w:color w:val="333333"/>
          <w:kern w:val="0"/>
          <w:sz w:val="28"/>
          <w:szCs w:val="28"/>
        </w:rPr>
      </w:pPr>
    </w:p>
    <w:p w:rsidR="00AF2AB7" w:rsidRDefault="006D7FC0">
      <w:pPr>
        <w:widowControl/>
        <w:spacing w:line="270" w:lineRule="atLeast"/>
        <w:jc w:val="left"/>
        <w:rPr>
          <w:rFonts w:ascii="Arial" w:hAnsi="Arial" w:cs="Arial"/>
          <w:b/>
          <w:color w:val="333333"/>
          <w:kern w:val="0"/>
          <w:sz w:val="32"/>
          <w:szCs w:val="32"/>
        </w:rPr>
      </w:pPr>
      <w:r>
        <w:rPr>
          <w:rFonts w:ascii="Arial" w:hAnsi="Arial" w:cs="Arial" w:hint="eastAsia"/>
          <w:b/>
          <w:color w:val="333333"/>
          <w:kern w:val="0"/>
          <w:sz w:val="32"/>
          <w:szCs w:val="32"/>
        </w:rPr>
        <w:t>《政治经济学》</w:t>
      </w:r>
      <w:r>
        <w:rPr>
          <w:rFonts w:ascii="Arial" w:hAnsi="Arial" w:cs="Arial" w:hint="eastAsia"/>
          <w:b/>
          <w:color w:val="333333"/>
          <w:kern w:val="0"/>
          <w:sz w:val="32"/>
          <w:szCs w:val="32"/>
        </w:rPr>
        <w:t xml:space="preserve">  </w:t>
      </w:r>
      <w:r>
        <w:rPr>
          <w:rFonts w:ascii="Arial" w:hAnsi="Arial" w:cs="Arial" w:hint="eastAsia"/>
          <w:b/>
          <w:color w:val="333333"/>
          <w:kern w:val="0"/>
          <w:sz w:val="32"/>
          <w:szCs w:val="32"/>
        </w:rPr>
        <w:t>考试大纲</w:t>
      </w:r>
    </w:p>
    <w:p w:rsidR="00AF2AB7" w:rsidRDefault="00AF2AB7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一、考查目标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（</w:t>
      </w:r>
      <w:r>
        <w:rPr>
          <w:rFonts w:ascii="Verdana" w:hAnsi="Verdana" w:cs="Arial" w:hint="eastAsia"/>
          <w:b/>
          <w:bCs/>
          <w:color w:val="C00000"/>
          <w:kern w:val="0"/>
          <w:sz w:val="24"/>
        </w:rPr>
        <w:t>政治经济学专业基础综合考试涵盖政治经济学（资本主义经济部分）和政治经济学（社会主义经济部分）基础课程。要求考生系统掌握上述政治经济学学科的基本理论、</w:t>
      </w:r>
      <w:r>
        <w:rPr>
          <w:rFonts w:ascii="Verdana" w:hAnsi="Verdana" w:cs="Arial" w:hint="eastAsia"/>
          <w:b/>
          <w:bCs/>
          <w:color w:val="C00000"/>
          <w:kern w:val="0"/>
          <w:sz w:val="24"/>
        </w:rPr>
        <w:t xml:space="preserve"> </w:t>
      </w:r>
      <w:r>
        <w:rPr>
          <w:rFonts w:ascii="Verdana" w:hAnsi="Verdana" w:cs="Arial" w:hint="eastAsia"/>
          <w:b/>
          <w:bCs/>
          <w:color w:val="C00000"/>
          <w:kern w:val="0"/>
          <w:sz w:val="24"/>
        </w:rPr>
        <w:t>基本知识和基本方法，</w:t>
      </w:r>
      <w:r>
        <w:rPr>
          <w:rFonts w:ascii="Verdana" w:hAnsi="Verdana" w:cs="Arial" w:hint="eastAsia"/>
          <w:b/>
          <w:bCs/>
          <w:color w:val="C00000"/>
          <w:kern w:val="0"/>
          <w:sz w:val="24"/>
        </w:rPr>
        <w:t xml:space="preserve"> </w:t>
      </w:r>
      <w:r>
        <w:rPr>
          <w:rFonts w:ascii="Verdana" w:hAnsi="Verdana" w:cs="Arial" w:hint="eastAsia"/>
          <w:b/>
          <w:bCs/>
          <w:color w:val="C00000"/>
          <w:kern w:val="0"/>
          <w:sz w:val="24"/>
        </w:rPr>
        <w:t>能够运用所学的理论和方法，分析和解决有关理论问题和实际问题。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）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二、考试形式和试卷结构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1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、试卷满分及考试时间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本试卷满分为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150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分，考试时间为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180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分钟。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2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、答题方式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答题方式为闭卷、笔试。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3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、试卷题型结构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（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1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）简答题（共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70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分，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5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小题，每小题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14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分）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（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2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）论述题（共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80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分，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2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小题，每小题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40</w:t>
      </w: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分）</w:t>
      </w:r>
    </w:p>
    <w:p w:rsidR="00AF2AB7" w:rsidRDefault="006D7FC0">
      <w:pPr>
        <w:widowControl/>
        <w:spacing w:line="270" w:lineRule="atLeast"/>
        <w:rPr>
          <w:rFonts w:ascii="Verdana" w:hAnsi="Verdana" w:cs="Arial"/>
          <w:b/>
          <w:bCs/>
          <w:color w:val="000000"/>
          <w:kern w:val="0"/>
          <w:sz w:val="24"/>
        </w:rPr>
      </w:pPr>
      <w:r>
        <w:rPr>
          <w:rFonts w:ascii="Verdana" w:hAnsi="Verdana" w:cs="Arial" w:hint="eastAsia"/>
          <w:b/>
          <w:bCs/>
          <w:color w:val="000000"/>
          <w:kern w:val="0"/>
          <w:sz w:val="24"/>
        </w:rPr>
        <w:t>三、考查范围</w:t>
      </w:r>
    </w:p>
    <w:p w:rsidR="00AF2AB7" w:rsidRDefault="006D7FC0" w:rsidP="006D7FC0">
      <w:pPr>
        <w:widowControl/>
        <w:spacing w:line="270" w:lineRule="atLeast"/>
        <w:ind w:firstLineChars="350" w:firstLine="738"/>
        <w:rPr>
          <w:rFonts w:ascii="Tahoma" w:hAnsi="Tahoma" w:cs="Tahoma"/>
          <w:b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第一章政治经济学的研究对象与方法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马克思主义政治经济学的创立与发展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马克思主义政治经济学的研究对象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马克思主义政治经济学的方法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第二章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商品和货币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商品经济的产生和发展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劳动创造商品价值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价值形式和货币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商品经济的运动规律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第三章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资本的生产过程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资本主义生产方式的基本特征和前提条件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资本主义的生产实质是剩余价值的生产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资本主义工资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资本主义再生产和资本积累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第四章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资本的流通过程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单个资本的再生产和流通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社会资本的再生产和流通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资本主义经济危机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第五章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资本运行的具体形式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产业资本和产业利润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商业资本和商业利润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借贷资本和利息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资本主义土地所有权和资本主义地租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第六章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垄断资本主义的形成与发展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自由竞争与垄断资本主义的形成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国家垄断资本主义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资本主义的国际垄断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第七章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现代资本主义发展的新情况、新特征和新趋势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现代资本主义发展的新变化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现代资本主义与经济全球化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现代科技的发展对资本主义经济的影响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第八章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我国正处在社会主义初级阶段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社会主义经济制度的建立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我国正处于并将长期处于社会主义初级阶段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社会主义初级阶段的经济纲领和经济发展战略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第九章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社会主义基本经济制度和所有制结构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lastRenderedPageBreak/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建设中国特色社会主义的经验总结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确立我国社会主义初级阶段基本经济制度的根据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探索公有制的实现形式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坚持和完善社会主义基本经济制度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第十章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社会主义初级阶段的收入分配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社会主义初级阶段的按劳分配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按劳分配与按生产要素分配相结合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正确处理收入分配中效率和公平的关系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第十一章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建设中国特色的社会主义市场经济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建立社会主义市场经济体制是我国经济建设和改革开放经验的总结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实行宏观调控的市场经济是世界经济发展的基本趋势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正确处理政府与市场的关系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劳动价值论在社会主义市场经济条件下的运用和发展</w:t>
      </w:r>
    </w:p>
    <w:p w:rsidR="00AF2AB7" w:rsidRDefault="006D7FC0">
      <w:pPr>
        <w:pStyle w:val="1"/>
        <w:widowControl/>
        <w:spacing w:line="270" w:lineRule="atLeast"/>
        <w:ind w:left="720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 w:hint="eastAsia"/>
          <w:b/>
          <w:bCs/>
          <w:color w:val="333333"/>
          <w:szCs w:val="21"/>
          <w:shd w:val="clear" w:color="auto" w:fill="FFFFFF"/>
        </w:rPr>
        <w:t>第十二章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社会主义市场经济的微观基础</w:t>
      </w:r>
    </w:p>
    <w:p w:rsidR="00AF2AB7" w:rsidRDefault="006D7FC0">
      <w:pPr>
        <w:pStyle w:val="1"/>
        <w:widowControl/>
        <w:spacing w:line="270" w:lineRule="atLeast"/>
        <w:ind w:leftChars="370" w:left="777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企业与社会主义企业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建立现代企业制度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企业经营机制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企业经济效益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第五节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居民的经济行为</w:t>
      </w:r>
    </w:p>
    <w:p w:rsidR="00AF2AB7" w:rsidRDefault="006D7FC0">
      <w:pPr>
        <w:pStyle w:val="1"/>
        <w:widowControl/>
        <w:spacing w:line="270" w:lineRule="atLeast"/>
        <w:ind w:leftChars="370" w:left="777" w:firstLineChars="0" w:firstLine="0"/>
        <w:rPr>
          <w:rFonts w:ascii="Tahoma" w:hAnsi="Tahoma" w:cs="Tahoma"/>
          <w:b/>
          <w:bCs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第十三章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社会主义国家宏观经济调控</w:t>
      </w:r>
    </w:p>
    <w:p w:rsidR="00AF2AB7" w:rsidRDefault="006D7FC0">
      <w:pPr>
        <w:pStyle w:val="1"/>
        <w:widowControl/>
        <w:spacing w:line="270" w:lineRule="atLeast"/>
        <w:ind w:leftChars="370" w:left="777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第一</w:t>
      </w:r>
      <w:r>
        <w:rPr>
          <w:rFonts w:ascii="Tahoma" w:hAnsi="Tahoma" w:cs="Tahoma"/>
          <w:color w:val="333333"/>
          <w:szCs w:val="21"/>
          <w:shd w:val="clear" w:color="auto" w:fill="FFFFFF"/>
        </w:rPr>
        <w:t>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市场经济条件下宏观经济调控的必要性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宏观经济调控的目标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和内容；第三节宏观经济调控的手段和经济政策及其运用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;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第四节正确履行政府职能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合理界定宏观调控边界</w:t>
      </w:r>
    </w:p>
    <w:p w:rsidR="00AF2AB7" w:rsidRDefault="006D7FC0">
      <w:pPr>
        <w:pStyle w:val="1"/>
        <w:widowControl/>
        <w:spacing w:line="270" w:lineRule="atLeast"/>
        <w:ind w:leftChars="370" w:left="777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第十四章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b/>
          <w:bCs/>
          <w:color w:val="333333"/>
          <w:szCs w:val="21"/>
          <w:shd w:val="clear" w:color="auto" w:fill="FFFFFF"/>
        </w:rPr>
        <w:t>社会主义国民收入的分配和消费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社会总产品和国民收入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国民收入的分配和再分配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社会主义积累和消费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树立科学的消费观</w:t>
      </w:r>
    </w:p>
    <w:p w:rsidR="00AF2AB7" w:rsidRDefault="006D7FC0">
      <w:pPr>
        <w:pStyle w:val="1"/>
        <w:widowControl/>
        <w:spacing w:line="270" w:lineRule="atLeast"/>
        <w:ind w:leftChars="370" w:left="777" w:firstLineChars="0" w:firstLine="0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第十五章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走中国特色新型工业化道路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对国内外工业化道路经验的科学总结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新型工业化道路的基本内涵和主要特征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形成新的产业格局，正确处理工业化中的几个关系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；第四节迎接第三次工业革命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第十六章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走中国特色农业现代化道路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农业在国民经济中的基础地位和作用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完善农村家庭联产承包责任制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农村产业结构调整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第十七章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社会主义财政、金融与信用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社会主义财政与社会主义财政体制改革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社会主义金融体系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、金融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市场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及金融体制改革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社会主义信用体系建设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第十八章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社会主义经济增长与经济发展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经济增长与经济发展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社会主义经济发展方式转变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我国经济发展战略目标和全面建成小康社会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第十九章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经济结构调整与经济社会的可持续发展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经济结构调整与产业结构优化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区域经济协调发展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经济社会的可持续发展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第二十章</w:t>
      </w:r>
      <w:r>
        <w:rPr>
          <w:rFonts w:ascii="Tahoma" w:hAnsi="Tahoma" w:cs="Tahoma"/>
          <w:b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构建开放型经济新体制</w:t>
      </w:r>
      <w:r>
        <w:rPr>
          <w:rFonts w:ascii="Tahoma" w:hAnsi="Tahoma" w:cs="Tahoma"/>
          <w:color w:val="333333"/>
          <w:szCs w:val="21"/>
        </w:rPr>
        <w:br/>
      </w:r>
      <w:r>
        <w:rPr>
          <w:rFonts w:ascii="Tahoma" w:hAnsi="Tahoma" w:cs="Tahoma"/>
          <w:color w:val="333333"/>
          <w:szCs w:val="21"/>
          <w:shd w:val="clear" w:color="auto" w:fill="FFFFFF"/>
        </w:rPr>
        <w:t>第一节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对外开放是我国经济发展的必然选择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第二节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全方位、多层次和宽领域的对外开放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第三节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加强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生产要素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的国际流动</w:t>
      </w:r>
      <w:r>
        <w:rPr>
          <w:rFonts w:ascii="Tahoma" w:hAnsi="Tahoma" w:cs="Tahoma" w:hint="eastAsia"/>
          <w:color w:val="333333"/>
          <w:szCs w:val="21"/>
        </w:rPr>
        <w:t>；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第四节</w:t>
      </w:r>
      <w:r>
        <w:rPr>
          <w:rFonts w:ascii="Tahoma" w:hAnsi="Tahoma" w:cs="Tahoma"/>
          <w:color w:val="333333"/>
          <w:szCs w:val="21"/>
          <w:shd w:val="clear" w:color="auto" w:fill="FFFFFF"/>
        </w:rPr>
        <w:t>  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适应经济全球化新形势，构建开放型经济新体制</w:t>
      </w:r>
    </w:p>
    <w:sectPr w:rsidR="00AF2AB7" w:rsidSect="00AF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7BF6"/>
    <w:rsid w:val="00021E76"/>
    <w:rsid w:val="000C098F"/>
    <w:rsid w:val="001015C8"/>
    <w:rsid w:val="003178D2"/>
    <w:rsid w:val="003B0A18"/>
    <w:rsid w:val="004146FB"/>
    <w:rsid w:val="00442A3B"/>
    <w:rsid w:val="004952CB"/>
    <w:rsid w:val="004C4D96"/>
    <w:rsid w:val="00501AAD"/>
    <w:rsid w:val="00567A41"/>
    <w:rsid w:val="005C799F"/>
    <w:rsid w:val="00670D7F"/>
    <w:rsid w:val="006B475E"/>
    <w:rsid w:val="006D7FC0"/>
    <w:rsid w:val="00717BF6"/>
    <w:rsid w:val="007A3E76"/>
    <w:rsid w:val="007C7E1E"/>
    <w:rsid w:val="007F5776"/>
    <w:rsid w:val="008205B5"/>
    <w:rsid w:val="00834879"/>
    <w:rsid w:val="00892453"/>
    <w:rsid w:val="008E2F7B"/>
    <w:rsid w:val="0097085A"/>
    <w:rsid w:val="009D4BEC"/>
    <w:rsid w:val="009E5A76"/>
    <w:rsid w:val="009F710C"/>
    <w:rsid w:val="00AA08F3"/>
    <w:rsid w:val="00AF2AB7"/>
    <w:rsid w:val="00B37CBD"/>
    <w:rsid w:val="00B623EF"/>
    <w:rsid w:val="00BF135F"/>
    <w:rsid w:val="00C17257"/>
    <w:rsid w:val="00CA12B8"/>
    <w:rsid w:val="00CC2FEC"/>
    <w:rsid w:val="00D21F5C"/>
    <w:rsid w:val="00D437FB"/>
    <w:rsid w:val="00D8295B"/>
    <w:rsid w:val="00DA6D42"/>
    <w:rsid w:val="00E10EBF"/>
    <w:rsid w:val="00E37783"/>
    <w:rsid w:val="00E62FB8"/>
    <w:rsid w:val="00F9169F"/>
    <w:rsid w:val="0EBF4A9B"/>
    <w:rsid w:val="1A0F607E"/>
    <w:rsid w:val="2B6D108F"/>
    <w:rsid w:val="3C8E7305"/>
    <w:rsid w:val="55D4070E"/>
    <w:rsid w:val="79F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AF2AB7"/>
    <w:rPr>
      <w:sz w:val="18"/>
      <w:szCs w:val="18"/>
    </w:rPr>
  </w:style>
  <w:style w:type="paragraph" w:styleId="a4">
    <w:name w:val="footer"/>
    <w:basedOn w:val="a"/>
    <w:link w:val="Char0"/>
    <w:qFormat/>
    <w:rsid w:val="00AF2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F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ParagraphFontParaChar">
    <w:name w:val="Default Paragraph Font Para Char"/>
    <w:basedOn w:val="a"/>
    <w:qFormat/>
    <w:rsid w:val="00AF2AB7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Char1">
    <w:name w:val="页眉 Char"/>
    <w:basedOn w:val="a0"/>
    <w:link w:val="a5"/>
    <w:qFormat/>
    <w:rsid w:val="00AF2AB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F2AB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AF2AB7"/>
  </w:style>
  <w:style w:type="paragraph" w:customStyle="1" w:styleId="1">
    <w:name w:val="列出段落1"/>
    <w:basedOn w:val="a"/>
    <w:uiPriority w:val="34"/>
    <w:qFormat/>
    <w:rsid w:val="00AF2AB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AF2A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微软中国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单位代码</dc:title>
  <dc:creator>微软用户</dc:creator>
  <cp:lastModifiedBy>张琼渊</cp:lastModifiedBy>
  <cp:revision>5</cp:revision>
  <cp:lastPrinted>2017-09-13T02:08:00Z</cp:lastPrinted>
  <dcterms:created xsi:type="dcterms:W3CDTF">2017-09-14T01:00:00Z</dcterms:created>
  <dcterms:modified xsi:type="dcterms:W3CDTF">2017-09-16T03:54:00Z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