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eastAsia="黑体"/>
          <w:sz w:val="30"/>
          <w:szCs w:val="30"/>
        </w:rPr>
      </w:pPr>
      <w:r>
        <w:rPr>
          <w:rFonts w:hint="eastAsia" w:eastAsia="黑体"/>
          <w:sz w:val="30"/>
          <w:szCs w:val="30"/>
        </w:rPr>
        <w:t>福  州  大  学</w:t>
      </w:r>
    </w:p>
    <w:p>
      <w:pPr>
        <w:jc w:val="center"/>
        <w:rPr>
          <w:rFonts w:eastAsia="黑体"/>
          <w:sz w:val="30"/>
          <w:szCs w:val="30"/>
        </w:rPr>
      </w:pPr>
      <w:r>
        <w:rPr>
          <w:rFonts w:hint="eastAsia" w:eastAsia="黑体"/>
          <w:sz w:val="30"/>
          <w:szCs w:val="30"/>
        </w:rPr>
        <w:t>2016年硕士研究生入学考试自命题科目考试大纲</w:t>
      </w:r>
    </w:p>
    <w:p>
      <w:pPr>
        <w:numPr>
          <w:ilvl w:val="0"/>
          <w:numId w:val="1"/>
        </w:numPr>
        <w:tabs>
          <w:tab w:val="left" w:pos="540"/>
        </w:tabs>
        <w:rPr>
          <w:rFonts w:ascii="宋体" w:hAnsi="宋体"/>
          <w:sz w:val="24"/>
        </w:rPr>
      </w:pPr>
      <w:r>
        <w:rPr>
          <w:rFonts w:hint="eastAsia" w:ascii="宋体" w:hAnsi="宋体"/>
          <w:sz w:val="24"/>
        </w:rPr>
        <w:t xml:space="preserve">考试科目名称: </w:t>
      </w:r>
      <w:r>
        <w:rPr>
          <w:rFonts w:hint="eastAsia"/>
          <w:b/>
          <w:bCs/>
          <w:sz w:val="28"/>
        </w:rPr>
        <w:t>《</w:t>
      </w:r>
      <w:r>
        <w:rPr>
          <w:rFonts w:hint="eastAsia"/>
          <w:b/>
          <w:bCs/>
          <w:color w:val="000000"/>
          <w:sz w:val="27"/>
          <w:szCs w:val="27"/>
        </w:rPr>
        <w:t>数学分析</w:t>
      </w:r>
      <w:r>
        <w:rPr>
          <w:rFonts w:hint="eastAsia"/>
          <w:b/>
          <w:bCs/>
          <w:sz w:val="28"/>
        </w:rPr>
        <w:t>》</w:t>
      </w:r>
    </w:p>
    <w:p>
      <w:pPr>
        <w:numPr>
          <w:ilvl w:val="0"/>
          <w:numId w:val="1"/>
        </w:numPr>
        <w:tabs>
          <w:tab w:val="left" w:pos="540"/>
        </w:tabs>
        <w:rPr>
          <w:rFonts w:ascii="宋体" w:hAnsi="宋体"/>
          <w:sz w:val="24"/>
        </w:rPr>
      </w:pPr>
      <w:r>
        <w:rPr>
          <w:rFonts w:hint="eastAsia" w:ascii="宋体" w:hAnsi="宋体"/>
          <w:sz w:val="24"/>
        </w:rPr>
        <w:t xml:space="preserve">招生学院和专业：数学与计算机学院  （数学专业）                               </w:t>
      </w:r>
    </w:p>
    <w:tbl>
      <w:tblPr>
        <w:tblStyle w:val="7"/>
        <w:tblW w:w="99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71" w:hRule="atLeast"/>
        </w:trPr>
        <w:tc>
          <w:tcPr>
            <w:tcW w:w="9900" w:type="dxa"/>
            <w:vAlign w:val="top"/>
          </w:tcPr>
          <w:p>
            <w:pPr>
              <w:rPr>
                <w:rFonts w:ascii="宋体" w:hAnsi="宋体"/>
                <w:sz w:val="24"/>
              </w:rPr>
            </w:pPr>
            <w:r>
              <w:rPr>
                <w:rFonts w:hint="eastAsia" w:ascii="宋体" w:hAnsi="宋体"/>
                <w:sz w:val="24"/>
              </w:rPr>
              <w:t>基本内容(可续页):</w:t>
            </w:r>
          </w:p>
          <w:p>
            <w:pPr>
              <w:pStyle w:val="5"/>
              <w:adjustRightInd w:val="0"/>
              <w:snapToGrid w:val="0"/>
              <w:spacing w:before="0" w:beforeAutospacing="0" w:after="0" w:afterAutospacing="0" w:line="360" w:lineRule="auto"/>
              <w:rPr>
                <w:rStyle w:val="11"/>
                <w:rFonts w:ascii="楷体" w:hAnsi="楷体" w:eastAsia="楷体"/>
                <w:b/>
                <w:bCs/>
              </w:rPr>
            </w:pPr>
            <w:r>
              <w:rPr>
                <w:rStyle w:val="11"/>
                <w:rFonts w:hint="eastAsia" w:ascii="楷体" w:hAnsi="楷体" w:eastAsia="楷体"/>
                <w:b/>
                <w:bCs/>
              </w:rPr>
              <w:t>第一篇 极限论</w:t>
            </w:r>
          </w:p>
          <w:p>
            <w:pPr>
              <w:adjustRightInd w:val="0"/>
              <w:snapToGrid w:val="0"/>
              <w:spacing w:line="360" w:lineRule="auto"/>
              <w:rPr>
                <w:rStyle w:val="12"/>
                <w:rFonts w:ascii="楷体" w:hAnsi="楷体" w:eastAsia="楷体"/>
                <w:sz w:val="24"/>
              </w:rPr>
            </w:pPr>
            <w:r>
              <w:rPr>
                <w:rStyle w:val="11"/>
                <w:rFonts w:hint="eastAsia" w:ascii="楷体" w:hAnsi="楷体" w:eastAsia="楷体"/>
                <w:sz w:val="24"/>
              </w:rPr>
              <w:t xml:space="preserve">   变量与函数，极限与连续，</w:t>
            </w:r>
            <w:r>
              <w:rPr>
                <w:rFonts w:hint="eastAsia" w:ascii="楷体" w:hAnsi="楷体" w:eastAsia="楷体"/>
                <w:color w:val="000000"/>
                <w:sz w:val="24"/>
              </w:rPr>
              <w:t>实数的基本定理及闭区间上连续函数性质证明。</w:t>
            </w:r>
          </w:p>
          <w:p>
            <w:pPr>
              <w:adjustRightInd w:val="0"/>
              <w:snapToGrid w:val="0"/>
              <w:spacing w:line="360" w:lineRule="auto"/>
              <w:rPr>
                <w:rStyle w:val="12"/>
                <w:rFonts w:ascii="楷体" w:hAnsi="楷体" w:eastAsia="楷体"/>
                <w:b/>
                <w:bCs/>
                <w:sz w:val="24"/>
              </w:rPr>
            </w:pPr>
            <w:r>
              <w:rPr>
                <w:rFonts w:hint="eastAsia" w:ascii="楷体" w:hAnsi="楷体" w:eastAsia="楷体"/>
                <w:b/>
                <w:bCs/>
                <w:color w:val="000000"/>
                <w:sz w:val="24"/>
              </w:rPr>
              <w:t>第二篇 单变量微积分学</w:t>
            </w:r>
            <w:r>
              <w:rPr>
                <w:rStyle w:val="12"/>
                <w:rFonts w:hint="eastAsia" w:ascii="宋体" w:hAnsi="宋体" w:eastAsia="楷体"/>
                <w:b/>
                <w:bCs/>
                <w:sz w:val="24"/>
              </w:rPr>
              <w:t> </w:t>
            </w:r>
          </w:p>
          <w:p>
            <w:pPr>
              <w:adjustRightInd w:val="0"/>
              <w:snapToGrid w:val="0"/>
              <w:spacing w:line="360" w:lineRule="auto"/>
              <w:rPr>
                <w:rFonts w:ascii="楷体" w:hAnsi="楷体" w:eastAsia="楷体"/>
                <w:sz w:val="24"/>
              </w:rPr>
            </w:pPr>
            <w:r>
              <w:rPr>
                <w:rStyle w:val="12"/>
                <w:rFonts w:hint="eastAsia" w:ascii="楷体" w:hAnsi="楷体" w:eastAsia="楷体"/>
                <w:sz w:val="24"/>
              </w:rPr>
              <w:t>1．</w:t>
            </w:r>
            <w:r>
              <w:rPr>
                <w:rFonts w:hint="eastAsia" w:ascii="楷体" w:hAnsi="楷体" w:eastAsia="楷体"/>
                <w:sz w:val="24"/>
              </w:rPr>
              <w:t>单变量微分学：</w:t>
            </w:r>
            <w:r>
              <w:rPr>
                <w:rStyle w:val="11"/>
                <w:rFonts w:hint="eastAsia" w:ascii="楷体" w:hAnsi="楷体" w:eastAsia="楷体"/>
                <w:sz w:val="24"/>
              </w:rPr>
              <w:t>导数与微分，微分学基本定理及导数的应用。</w:t>
            </w:r>
          </w:p>
          <w:p>
            <w:pPr>
              <w:pStyle w:val="5"/>
              <w:adjustRightInd w:val="0"/>
              <w:snapToGrid w:val="0"/>
              <w:spacing w:before="0" w:beforeAutospacing="0" w:after="0" w:afterAutospacing="0" w:line="360" w:lineRule="auto"/>
              <w:rPr>
                <w:rFonts w:ascii="楷体" w:hAnsi="楷体" w:eastAsia="楷体"/>
                <w:color w:val="000000"/>
              </w:rPr>
            </w:pPr>
            <w:r>
              <w:rPr>
                <w:rFonts w:hint="eastAsia" w:ascii="楷体" w:hAnsi="楷体" w:eastAsia="楷体"/>
              </w:rPr>
              <w:t>2．单变量积分学：</w:t>
            </w:r>
            <w:r>
              <w:rPr>
                <w:rStyle w:val="11"/>
                <w:rFonts w:hint="eastAsia" w:ascii="楷体" w:hAnsi="楷体" w:eastAsia="楷体"/>
                <w:kern w:val="2"/>
                <w:sz w:val="24"/>
              </w:rPr>
              <w:t>不定积分与定积分的概念、性质与计算，定积分存在的条件，定积分的应用。</w:t>
            </w:r>
          </w:p>
          <w:p>
            <w:pPr>
              <w:pStyle w:val="5"/>
              <w:adjustRightInd w:val="0"/>
              <w:snapToGrid w:val="0"/>
              <w:spacing w:before="0" w:beforeAutospacing="0" w:after="0" w:afterAutospacing="0" w:line="360" w:lineRule="auto"/>
              <w:ind w:left="361" w:hanging="361" w:hangingChars="200"/>
              <w:rPr>
                <w:rStyle w:val="11"/>
                <w:rFonts w:ascii="楷体" w:hAnsi="楷体" w:eastAsia="楷体"/>
                <w:b/>
                <w:bCs/>
              </w:rPr>
            </w:pPr>
            <w:r>
              <w:rPr>
                <w:rStyle w:val="11"/>
                <w:rFonts w:hint="eastAsia" w:ascii="楷体" w:hAnsi="楷体" w:eastAsia="楷体"/>
                <w:b/>
                <w:bCs/>
              </w:rPr>
              <w:t>第三篇 级数</w:t>
            </w:r>
          </w:p>
          <w:p>
            <w:pPr>
              <w:pStyle w:val="5"/>
              <w:adjustRightInd w:val="0"/>
              <w:snapToGrid w:val="0"/>
              <w:spacing w:before="0" w:beforeAutospacing="0" w:after="0" w:afterAutospacing="0" w:line="360" w:lineRule="auto"/>
              <w:ind w:left="480" w:hanging="480" w:hangingChars="200"/>
              <w:rPr>
                <w:rStyle w:val="11"/>
                <w:kern w:val="2"/>
                <w:sz w:val="24"/>
              </w:rPr>
            </w:pPr>
            <w:r>
              <w:rPr>
                <w:rStyle w:val="11"/>
                <w:rFonts w:hint="eastAsia" w:ascii="楷体" w:hAnsi="楷体" w:eastAsia="楷体"/>
                <w:kern w:val="2"/>
                <w:sz w:val="24"/>
              </w:rPr>
              <w:t>1．数项级数的性质与敛散性判别，反常积分性质与敛散性判别。</w:t>
            </w:r>
          </w:p>
          <w:p>
            <w:pPr>
              <w:pStyle w:val="5"/>
              <w:adjustRightInd w:val="0"/>
              <w:snapToGrid w:val="0"/>
              <w:spacing w:before="0" w:beforeAutospacing="0" w:after="0" w:afterAutospacing="0" w:line="360" w:lineRule="auto"/>
              <w:rPr>
                <w:rStyle w:val="11"/>
                <w:rFonts w:ascii="楷体" w:hAnsi="楷体" w:eastAsia="楷体"/>
                <w:kern w:val="2"/>
                <w:sz w:val="24"/>
              </w:rPr>
            </w:pPr>
            <w:r>
              <w:rPr>
                <w:rStyle w:val="11"/>
                <w:rFonts w:hint="eastAsia" w:ascii="楷体" w:hAnsi="楷体" w:eastAsia="楷体"/>
                <w:kern w:val="2"/>
                <w:sz w:val="24"/>
              </w:rPr>
              <w:t>2．函数项级数的性质与一致收敛性判别，幂级数，Fourier级数与Fourier变换。</w:t>
            </w:r>
          </w:p>
          <w:p>
            <w:pPr>
              <w:adjustRightInd w:val="0"/>
              <w:snapToGrid w:val="0"/>
              <w:spacing w:line="360" w:lineRule="auto"/>
              <w:rPr>
                <w:rStyle w:val="12"/>
                <w:rFonts w:ascii="楷体" w:hAnsi="楷体" w:eastAsia="楷体"/>
                <w:b/>
                <w:bCs/>
                <w:sz w:val="24"/>
              </w:rPr>
            </w:pPr>
            <w:r>
              <w:rPr>
                <w:rStyle w:val="11"/>
                <w:rFonts w:hint="eastAsia" w:ascii="楷体" w:hAnsi="楷体" w:eastAsia="楷体"/>
                <w:b/>
                <w:bCs/>
                <w:sz w:val="24"/>
              </w:rPr>
              <w:t xml:space="preserve">第四篇 </w:t>
            </w:r>
            <w:r>
              <w:rPr>
                <w:rFonts w:hint="eastAsia" w:ascii="楷体" w:hAnsi="楷体" w:eastAsia="楷体"/>
                <w:b/>
                <w:bCs/>
                <w:color w:val="000000"/>
                <w:sz w:val="24"/>
              </w:rPr>
              <w:t>多变量微积分学</w:t>
            </w:r>
            <w:r>
              <w:rPr>
                <w:rStyle w:val="12"/>
                <w:rFonts w:hint="eastAsia" w:ascii="宋体" w:hAnsi="宋体" w:eastAsia="楷体"/>
                <w:b/>
                <w:bCs/>
                <w:sz w:val="24"/>
              </w:rPr>
              <w:t> </w:t>
            </w:r>
          </w:p>
          <w:p>
            <w:pPr>
              <w:pStyle w:val="5"/>
              <w:adjustRightInd w:val="0"/>
              <w:snapToGrid w:val="0"/>
              <w:spacing w:before="0" w:beforeAutospacing="0" w:after="0" w:afterAutospacing="0" w:line="360" w:lineRule="auto"/>
              <w:rPr>
                <w:rStyle w:val="11"/>
                <w:rFonts w:ascii="楷体" w:hAnsi="楷体" w:eastAsia="楷体"/>
              </w:rPr>
            </w:pPr>
            <w:r>
              <w:rPr>
                <w:rFonts w:hint="eastAsia" w:ascii="楷体" w:hAnsi="楷体" w:eastAsia="楷体"/>
                <w:color w:val="000000"/>
              </w:rPr>
              <w:t>1．多元函数的极限</w:t>
            </w:r>
            <w:r>
              <w:rPr>
                <w:rStyle w:val="11"/>
                <w:rFonts w:hint="eastAsia" w:ascii="楷体" w:hAnsi="楷体" w:eastAsia="楷体"/>
                <w:kern w:val="2"/>
                <w:sz w:val="24"/>
              </w:rPr>
              <w:t xml:space="preserve">与连续性。 </w:t>
            </w:r>
          </w:p>
          <w:p>
            <w:pPr>
              <w:pStyle w:val="5"/>
              <w:adjustRightInd w:val="0"/>
              <w:snapToGrid w:val="0"/>
              <w:spacing w:before="0" w:beforeAutospacing="0" w:after="0" w:afterAutospacing="0" w:line="360" w:lineRule="auto"/>
              <w:rPr>
                <w:rStyle w:val="11"/>
                <w:rFonts w:ascii="楷体" w:hAnsi="楷体" w:eastAsia="楷体"/>
              </w:rPr>
            </w:pPr>
            <w:r>
              <w:rPr>
                <w:rStyle w:val="11"/>
                <w:rFonts w:hint="eastAsia" w:ascii="楷体" w:hAnsi="楷体" w:eastAsia="楷体"/>
              </w:rPr>
              <w:t>2．多变量微分学:</w:t>
            </w:r>
            <w:r>
              <w:rPr>
                <w:rFonts w:hint="eastAsia" w:ascii="楷体" w:hAnsi="楷体" w:eastAsia="楷体"/>
                <w:color w:val="000000"/>
              </w:rPr>
              <w:t xml:space="preserve"> 偏导数和全微分,极值和条件极值,隐函数存在定理、函数相关</w:t>
            </w:r>
            <w:r>
              <w:rPr>
                <w:rStyle w:val="11"/>
                <w:rFonts w:hint="eastAsia" w:ascii="楷体" w:hAnsi="楷体" w:eastAsia="楷体"/>
              </w:rPr>
              <w:t>。</w:t>
            </w:r>
          </w:p>
          <w:p>
            <w:pPr>
              <w:adjustRightInd w:val="0"/>
              <w:snapToGrid w:val="0"/>
              <w:spacing w:line="360" w:lineRule="auto"/>
              <w:rPr>
                <w:rStyle w:val="11"/>
                <w:rFonts w:ascii="楷体" w:hAnsi="楷体" w:eastAsia="楷体"/>
                <w:sz w:val="24"/>
              </w:rPr>
            </w:pPr>
            <w:r>
              <w:rPr>
                <w:rFonts w:hint="eastAsia" w:ascii="楷体" w:hAnsi="楷体" w:eastAsia="楷体"/>
                <w:sz w:val="24"/>
              </w:rPr>
              <w:t>3．含参变量的积分和反常积分的概念与性质，</w:t>
            </w:r>
            <w:r>
              <w:rPr>
                <w:rStyle w:val="11"/>
                <w:rFonts w:hint="eastAsia" w:ascii="楷体" w:hAnsi="楷体" w:eastAsia="楷体"/>
                <w:sz w:val="24"/>
              </w:rPr>
              <w:t>含参变量广义积分的一致收敛及判别法。</w:t>
            </w:r>
          </w:p>
          <w:p>
            <w:pPr>
              <w:pStyle w:val="5"/>
              <w:adjustRightInd w:val="0"/>
              <w:snapToGrid w:val="0"/>
              <w:spacing w:before="0" w:beforeAutospacing="0" w:after="0" w:afterAutospacing="0" w:line="360" w:lineRule="auto"/>
              <w:ind w:left="360" w:hanging="360" w:hangingChars="150"/>
            </w:pPr>
            <w:r>
              <w:rPr>
                <w:rFonts w:hint="eastAsia" w:ascii="楷体" w:hAnsi="楷体" w:eastAsia="楷体"/>
                <w:color w:val="000000"/>
              </w:rPr>
              <w:t>4．多变量积分学：积分(二重、三重积分，曲线、曲面积分)的定义和性质,重积分的计算及应用,曲线积分和曲面积分的计算,各种积分间的联系和场论初步。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201" w:hRule="atLeast"/>
        </w:trPr>
        <w:tc>
          <w:tcPr>
            <w:tcW w:w="9900" w:type="dxa"/>
            <w:vAlign w:val="top"/>
          </w:tcPr>
          <w:p>
            <w:pPr>
              <w:rPr>
                <w:rFonts w:ascii="宋体" w:hAnsi="宋体"/>
                <w:sz w:val="24"/>
              </w:rPr>
            </w:pPr>
            <w:r>
              <w:rPr>
                <w:rFonts w:hint="eastAsia" w:ascii="宋体" w:hAnsi="宋体"/>
                <w:sz w:val="24"/>
              </w:rPr>
              <w:t>参考书目(须与专业目录一致)(包括作者、书目、出版社、出版时间、版次)：</w:t>
            </w:r>
          </w:p>
          <w:p>
            <w:pPr>
              <w:pStyle w:val="5"/>
              <w:adjustRightInd w:val="0"/>
              <w:snapToGrid w:val="0"/>
              <w:spacing w:before="0" w:beforeAutospacing="0" w:after="0" w:afterAutospacing="0"/>
              <w:rPr>
                <w:rFonts w:ascii="楷体" w:hAnsi="楷体" w:eastAsia="楷体"/>
                <w:color w:val="000000"/>
              </w:rPr>
            </w:pPr>
            <w:r>
              <w:rPr>
                <w:rStyle w:val="11"/>
                <w:rFonts w:hint="eastAsia" w:ascii="楷体" w:hAnsi="楷体" w:eastAsia="楷体"/>
                <w:b/>
                <w:bCs/>
              </w:rPr>
              <w:t>1</w:t>
            </w:r>
            <w:r>
              <w:rPr>
                <w:rFonts w:hint="eastAsia"/>
              </w:rPr>
              <w:t>．教材：《数学分析》（上、下），复旦大学数学系欧阳光中、朱学炎、金福临、陈传璋编著，高等教育出版社，2007年4月，第三版。</w:t>
            </w:r>
            <w:r>
              <w:rPr>
                <w:rFonts w:ascii="楷体" w:hAnsi="楷体" w:eastAsia="楷体"/>
                <w:color w:val="000000"/>
              </w:rPr>
              <w:t xml:space="preserve"> </w:t>
            </w:r>
          </w:p>
          <w:p>
            <w:pPr>
              <w:pStyle w:val="5"/>
              <w:adjustRightInd w:val="0"/>
              <w:snapToGrid w:val="0"/>
              <w:spacing w:before="0" w:beforeAutospacing="0" w:after="0" w:afterAutospacing="0"/>
            </w:pPr>
            <w:r>
              <w:rPr>
                <w:rFonts w:hint="eastAsia"/>
              </w:rPr>
              <w:t>2．教学参考书：</w:t>
            </w:r>
          </w:p>
          <w:p>
            <w:pPr>
              <w:pStyle w:val="5"/>
              <w:adjustRightInd w:val="0"/>
              <w:snapToGrid w:val="0"/>
              <w:spacing w:before="0" w:beforeAutospacing="0" w:after="0" w:afterAutospacing="0"/>
              <w:rPr>
                <w:rFonts w:ascii="楷体" w:hAnsi="楷体" w:eastAsia="楷体"/>
                <w:color w:val="000000"/>
              </w:rPr>
            </w:pPr>
            <w:r>
              <w:rPr>
                <w:rFonts w:hint="eastAsia"/>
              </w:rPr>
              <w:t>[1].《数学分析简明教程》（上、下），邓东皋、尹小玲编著，高等教育出版社，2006年12月，第二版。</w:t>
            </w:r>
          </w:p>
          <w:p>
            <w:pPr>
              <w:adjustRightInd w:val="0"/>
              <w:snapToGrid w:val="0"/>
              <w:rPr>
                <w:rFonts w:ascii="宋体" w:hAnsi="宋体"/>
                <w:sz w:val="24"/>
              </w:rPr>
            </w:pPr>
            <w:r>
              <w:rPr>
                <w:rFonts w:hint="eastAsia"/>
              </w:rPr>
              <w:t>[2].</w:t>
            </w:r>
            <w:r>
              <w:rPr>
                <w:rFonts w:hint="eastAsia"/>
                <w:kern w:val="0"/>
              </w:rPr>
              <w:t>《数学分析》（上、下），</w:t>
            </w:r>
            <w:r>
              <w:rPr>
                <w:rFonts w:hint="eastAsia"/>
              </w:rPr>
              <w:t>华东师大数学系编，高等教育出版社，2010年7月，第四版。</w:t>
            </w:r>
          </w:p>
        </w:tc>
      </w:tr>
    </w:tbl>
    <w:p>
      <w:pPr>
        <w:pStyle w:val="2"/>
        <w:rPr>
          <w:sz w:val="21"/>
          <w:szCs w:val="21"/>
        </w:rPr>
      </w:pPr>
      <w:r>
        <w:rPr>
          <w:rFonts w:hint="eastAsia" w:eastAsia="黑体"/>
          <w:b/>
          <w:sz w:val="21"/>
        </w:rPr>
        <w:t>说明：</w:t>
      </w:r>
      <w:r>
        <w:rPr>
          <w:rFonts w:hint="eastAsia"/>
          <w:sz w:val="21"/>
          <w:szCs w:val="21"/>
        </w:rPr>
        <w:t>1、考试基本内容：一般包括基础理论、实际知识、综合分析和论证等几个方面的内容。有些课程还应有基本运算和实验方法等方面的内容。</w:t>
      </w:r>
    </w:p>
    <w:p>
      <w:pPr>
        <w:rPr>
          <w:szCs w:val="21"/>
        </w:rPr>
      </w:pPr>
      <w:r>
        <w:rPr>
          <w:rFonts w:hint="eastAsia"/>
          <w:szCs w:val="21"/>
        </w:rPr>
        <w:t>2、难易程度：根据大学本科的教学大纲和本学科、专业的基本要求，一般应使大学本科毕业生中优秀学生在规定的三个小时内答完全部考题，略有一些时间进行检查和思考。</w:t>
      </w:r>
    </w:p>
    <w:p>
      <w:bookmarkStart w:id="0" w:name="_GoBack"/>
      <w:bookmarkEnd w:id="0"/>
    </w:p>
    <w:p/>
    <w:p/>
    <w:p/>
    <w:sectPr>
      <w:headerReference r:id="rId4"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楷体">
    <w:altName w:val="宋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359551308">
    <w:nsid w:val="51091B4C"/>
    <w:multiLevelType w:val="multilevel"/>
    <w:tmpl w:val="51091B4C"/>
    <w:lvl w:ilvl="0" w:tentative="1">
      <w:start w:val="1"/>
      <w:numFmt w:val="japaneseCounting"/>
      <w:lvlText w:val="%1、"/>
      <w:lvlJc w:val="left"/>
      <w:pPr>
        <w:tabs>
          <w:tab w:val="left" w:pos="960"/>
        </w:tabs>
        <w:ind w:left="960" w:hanging="480"/>
      </w:pPr>
      <w:rPr>
        <w:rFonts w:hint="default"/>
      </w:rPr>
    </w:lvl>
    <w:lvl w:ilvl="1" w:tentative="1">
      <w:start w:val="1"/>
      <w:numFmt w:val="lowerLetter"/>
      <w:lvlText w:val="%2)"/>
      <w:lvlJc w:val="left"/>
      <w:pPr>
        <w:tabs>
          <w:tab w:val="left" w:pos="1320"/>
        </w:tabs>
        <w:ind w:left="1320" w:hanging="420"/>
      </w:pPr>
    </w:lvl>
    <w:lvl w:ilvl="2" w:tentative="1">
      <w:start w:val="1"/>
      <w:numFmt w:val="lowerRoman"/>
      <w:lvlText w:val="%3."/>
      <w:lvlJc w:val="right"/>
      <w:pPr>
        <w:tabs>
          <w:tab w:val="left" w:pos="1740"/>
        </w:tabs>
        <w:ind w:left="1740" w:hanging="420"/>
      </w:pPr>
    </w:lvl>
    <w:lvl w:ilvl="3" w:tentative="1">
      <w:start w:val="1"/>
      <w:numFmt w:val="decimal"/>
      <w:lvlText w:val="%4."/>
      <w:lvlJc w:val="left"/>
      <w:pPr>
        <w:tabs>
          <w:tab w:val="left" w:pos="2160"/>
        </w:tabs>
        <w:ind w:left="2160" w:hanging="420"/>
      </w:pPr>
    </w:lvl>
    <w:lvl w:ilvl="4" w:tentative="1">
      <w:start w:val="1"/>
      <w:numFmt w:val="lowerLetter"/>
      <w:lvlText w:val="%5)"/>
      <w:lvlJc w:val="left"/>
      <w:pPr>
        <w:tabs>
          <w:tab w:val="left" w:pos="2580"/>
        </w:tabs>
        <w:ind w:left="2580" w:hanging="420"/>
      </w:pPr>
    </w:lvl>
    <w:lvl w:ilvl="5" w:tentative="1">
      <w:start w:val="1"/>
      <w:numFmt w:val="lowerRoman"/>
      <w:lvlText w:val="%6."/>
      <w:lvlJc w:val="right"/>
      <w:pPr>
        <w:tabs>
          <w:tab w:val="left" w:pos="3000"/>
        </w:tabs>
        <w:ind w:left="3000" w:hanging="420"/>
      </w:pPr>
    </w:lvl>
    <w:lvl w:ilvl="6" w:tentative="1">
      <w:start w:val="1"/>
      <w:numFmt w:val="decimal"/>
      <w:lvlText w:val="%7."/>
      <w:lvlJc w:val="left"/>
      <w:pPr>
        <w:tabs>
          <w:tab w:val="left" w:pos="3420"/>
        </w:tabs>
        <w:ind w:left="3420" w:hanging="420"/>
      </w:pPr>
    </w:lvl>
    <w:lvl w:ilvl="7" w:tentative="1">
      <w:start w:val="1"/>
      <w:numFmt w:val="lowerLetter"/>
      <w:lvlText w:val="%8)"/>
      <w:lvlJc w:val="left"/>
      <w:pPr>
        <w:tabs>
          <w:tab w:val="left" w:pos="3840"/>
        </w:tabs>
        <w:ind w:left="3840" w:hanging="420"/>
      </w:pPr>
    </w:lvl>
    <w:lvl w:ilvl="8" w:tentative="1">
      <w:start w:val="1"/>
      <w:numFmt w:val="lowerRoman"/>
      <w:lvlText w:val="%9."/>
      <w:lvlJc w:val="right"/>
      <w:pPr>
        <w:tabs>
          <w:tab w:val="left" w:pos="4260"/>
        </w:tabs>
        <w:ind w:left="4260" w:hanging="420"/>
      </w:pPr>
    </w:lvl>
  </w:abstractNum>
  <w:num w:numId="1">
    <w:abstractNumId w:val="135955130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310ABB"/>
    <w:rsid w:val="000D3C5E"/>
    <w:rsid w:val="000F592A"/>
    <w:rsid w:val="0013759B"/>
    <w:rsid w:val="002359A2"/>
    <w:rsid w:val="00310ABB"/>
    <w:rsid w:val="00586280"/>
    <w:rsid w:val="009A4913"/>
    <w:rsid w:val="00A23350"/>
    <w:rsid w:val="00A42002"/>
    <w:rsid w:val="00A85F6D"/>
    <w:rsid w:val="00B32839"/>
    <w:rsid w:val="00B772FF"/>
    <w:rsid w:val="00CA2451"/>
    <w:rsid w:val="00EF5025"/>
    <w:rsid w:val="50A84DED"/>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semiHidden="0"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ody Text"/>
    <w:basedOn w:val="1"/>
    <w:link w:val="10"/>
    <w:uiPriority w:val="0"/>
    <w:rPr>
      <w:sz w:val="18"/>
      <w:szCs w:val="20"/>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widowControl/>
      <w:spacing w:before="100" w:beforeAutospacing="1" w:after="100" w:afterAutospacing="1"/>
      <w:jc w:val="left"/>
    </w:pPr>
    <w:rPr>
      <w:rFonts w:ascii="宋体" w:hAnsi="宋体"/>
      <w:kern w:val="0"/>
      <w:sz w:val="24"/>
    </w:rPr>
  </w:style>
  <w:style w:type="character" w:customStyle="1" w:styleId="8">
    <w:name w:val="页眉 Char"/>
    <w:basedOn w:val="6"/>
    <w:link w:val="4"/>
    <w:semiHidden/>
    <w:uiPriority w:val="99"/>
    <w:rPr>
      <w:sz w:val="18"/>
      <w:szCs w:val="18"/>
    </w:rPr>
  </w:style>
  <w:style w:type="character" w:customStyle="1" w:styleId="9">
    <w:name w:val="页脚 Char"/>
    <w:basedOn w:val="6"/>
    <w:link w:val="3"/>
    <w:semiHidden/>
    <w:uiPriority w:val="99"/>
    <w:rPr>
      <w:sz w:val="18"/>
      <w:szCs w:val="18"/>
    </w:rPr>
  </w:style>
  <w:style w:type="character" w:customStyle="1" w:styleId="10">
    <w:name w:val="正文文本 Char"/>
    <w:basedOn w:val="6"/>
    <w:link w:val="2"/>
    <w:uiPriority w:val="0"/>
    <w:rPr>
      <w:rFonts w:ascii="Times New Roman" w:hAnsi="Times New Roman" w:eastAsia="宋体" w:cs="Times New Roman"/>
      <w:sz w:val="18"/>
      <w:szCs w:val="20"/>
    </w:rPr>
  </w:style>
  <w:style w:type="character" w:customStyle="1" w:styleId="11">
    <w:name w:val="text1"/>
    <w:basedOn w:val="6"/>
    <w:uiPriority w:val="0"/>
    <w:rPr>
      <w:rFonts w:hint="default"/>
      <w:color w:val="000000"/>
      <w:sz w:val="18"/>
      <w:szCs w:val="18"/>
    </w:rPr>
  </w:style>
  <w:style w:type="character" w:customStyle="1" w:styleId="12">
    <w:name w:val="apple-converted-space"/>
    <w:basedOn w:val="6"/>
    <w:uiPriority w:val="0"/>
    <w:rPr/>
  </w:style>
</w:styles>
</file>

<file path=word/_rels/document.xml.rels><?xml version="1.0" encoding="UTF-8" standalone="yes"?>
<Relationships xmlns="http://schemas.openxmlformats.org/package/2006/relationships"><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微软用户</Company>
  <Pages>1</Pages>
  <Words>134</Words>
  <Characters>768</Characters>
  <Lines>6</Lines>
  <Paragraphs>1</Paragraphs>
  <TotalTime>0</TotalTime>
  <ScaleCrop>false</ScaleCrop>
  <LinksUpToDate>false</LinksUpToDate>
  <CharactersWithSpaces>0</CharactersWithSpaces>
  <Application>WPS Office_9.1.0.5184_F1E327BC-269C-435d-A152-05C5408002CA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2015-06-25T05:42:00Z</dcterms:created>
  <dc:creator>微软中国</dc:creator>
  <cp:lastModifiedBy>xjingyu</cp:lastModifiedBy>
  <cp:lastPrinted>2015-06-25T05:48:00Z</cp:lastPrinted>
  <dcterms:modified xsi:type="dcterms:W3CDTF">2015-09-22T04:31:52Z</dcterms:modified>
  <dc:title>福  州  大  学</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