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49B" w:rsidRDefault="00CE649B" w:rsidP="00432695">
      <w:pPr>
        <w:jc w:val="center"/>
        <w:rPr>
          <w:rFonts w:eastAsia="黑体"/>
          <w:sz w:val="30"/>
          <w:szCs w:val="30"/>
        </w:rPr>
      </w:pPr>
      <w:r>
        <w:rPr>
          <w:rFonts w:eastAsia="黑体" w:hint="eastAsia"/>
          <w:sz w:val="30"/>
          <w:szCs w:val="30"/>
        </w:rPr>
        <w:t>福</w:t>
      </w:r>
      <w:r>
        <w:rPr>
          <w:rFonts w:eastAsia="黑体"/>
          <w:sz w:val="30"/>
          <w:szCs w:val="30"/>
        </w:rPr>
        <w:t xml:space="preserve">  </w:t>
      </w:r>
      <w:r>
        <w:rPr>
          <w:rFonts w:eastAsia="黑体" w:hint="eastAsia"/>
          <w:sz w:val="30"/>
          <w:szCs w:val="30"/>
        </w:rPr>
        <w:t>州</w:t>
      </w:r>
      <w:r>
        <w:rPr>
          <w:rFonts w:eastAsia="黑体"/>
          <w:sz w:val="30"/>
          <w:szCs w:val="30"/>
        </w:rPr>
        <w:t xml:space="preserve">  </w:t>
      </w:r>
      <w:r>
        <w:rPr>
          <w:rFonts w:eastAsia="黑体" w:hint="eastAsia"/>
          <w:sz w:val="30"/>
          <w:szCs w:val="30"/>
        </w:rPr>
        <w:t>大</w:t>
      </w:r>
      <w:r>
        <w:rPr>
          <w:rFonts w:eastAsia="黑体"/>
          <w:sz w:val="30"/>
          <w:szCs w:val="30"/>
        </w:rPr>
        <w:t xml:space="preserve">  </w:t>
      </w:r>
      <w:r>
        <w:rPr>
          <w:rFonts w:eastAsia="黑体" w:hint="eastAsia"/>
          <w:sz w:val="30"/>
          <w:szCs w:val="30"/>
        </w:rPr>
        <w:t>学</w:t>
      </w:r>
    </w:p>
    <w:p w:rsidR="00CE649B" w:rsidRDefault="00CE649B" w:rsidP="00432695">
      <w:pPr>
        <w:spacing w:line="288" w:lineRule="auto"/>
        <w:jc w:val="center"/>
        <w:rPr>
          <w:rFonts w:eastAsia="黑体"/>
          <w:sz w:val="30"/>
          <w:szCs w:val="30"/>
        </w:rPr>
      </w:pPr>
      <w:r>
        <w:rPr>
          <w:rFonts w:eastAsia="黑体"/>
          <w:sz w:val="30"/>
          <w:szCs w:val="30"/>
        </w:rPr>
        <w:t>2017</w:t>
      </w:r>
      <w:r>
        <w:rPr>
          <w:rFonts w:eastAsia="黑体" w:hint="eastAsia"/>
          <w:sz w:val="30"/>
          <w:szCs w:val="30"/>
        </w:rPr>
        <w:t>年硕士研究生入学考试专业课课程（考试）大纲</w:t>
      </w:r>
    </w:p>
    <w:p w:rsidR="00CE649B" w:rsidRDefault="00CE649B" w:rsidP="00432695">
      <w:pPr>
        <w:numPr>
          <w:ilvl w:val="0"/>
          <w:numId w:val="1"/>
        </w:numPr>
        <w:tabs>
          <w:tab w:val="clear" w:pos="960"/>
          <w:tab w:val="num" w:pos="540"/>
        </w:tabs>
        <w:spacing w:line="288" w:lineRule="auto"/>
        <w:ind w:left="524"/>
        <w:rPr>
          <w:rFonts w:ascii="宋体"/>
          <w:sz w:val="24"/>
        </w:rPr>
      </w:pPr>
      <w:r>
        <w:rPr>
          <w:rFonts w:ascii="宋体" w:hAnsi="宋体" w:hint="eastAsia"/>
          <w:sz w:val="24"/>
        </w:rPr>
        <w:t>考试科目名称：</w:t>
      </w:r>
      <w:r>
        <w:rPr>
          <w:rFonts w:ascii="宋体" w:hAnsi="宋体" w:hint="eastAsia"/>
          <w:sz w:val="24"/>
          <w:szCs w:val="18"/>
        </w:rPr>
        <w:t>金属学与热处理</w:t>
      </w:r>
    </w:p>
    <w:p w:rsidR="00CE649B" w:rsidRDefault="00CE649B" w:rsidP="00131E9D">
      <w:pPr>
        <w:numPr>
          <w:ilvl w:val="0"/>
          <w:numId w:val="1"/>
        </w:numPr>
        <w:tabs>
          <w:tab w:val="clear" w:pos="960"/>
          <w:tab w:val="num" w:pos="540"/>
        </w:tabs>
        <w:spacing w:afterLines="50" w:line="288" w:lineRule="auto"/>
        <w:ind w:left="510" w:hanging="482"/>
        <w:rPr>
          <w:rFonts w:ascii="宋体"/>
          <w:sz w:val="24"/>
        </w:rPr>
      </w:pPr>
      <w:r>
        <w:rPr>
          <w:rFonts w:ascii="宋体" w:hAnsi="宋体" w:hint="eastAsia"/>
          <w:sz w:val="24"/>
        </w:rPr>
        <w:t>招生学院：机械工程学院</w:t>
      </w:r>
      <w:r>
        <w:rPr>
          <w:rFonts w:ascii="宋体" w:hAnsi="宋体"/>
          <w:sz w:val="24"/>
        </w:rPr>
        <w:t xml:space="preserve">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0"/>
      </w:tblGrid>
      <w:tr w:rsidR="00CE649B" w:rsidTr="000F04BA">
        <w:trPr>
          <w:trHeight w:val="6835"/>
          <w:jc w:val="center"/>
        </w:trPr>
        <w:tc>
          <w:tcPr>
            <w:tcW w:w="9000" w:type="dxa"/>
            <w:vAlign w:val="center"/>
          </w:tcPr>
          <w:p w:rsidR="00CE649B" w:rsidRPr="000161D1" w:rsidRDefault="00CE649B" w:rsidP="00131E9D">
            <w:pPr>
              <w:spacing w:beforeLines="50" w:line="288" w:lineRule="auto"/>
              <w:rPr>
                <w:rFonts w:ascii="宋体"/>
                <w:sz w:val="24"/>
                <w:szCs w:val="18"/>
              </w:rPr>
            </w:pPr>
            <w:r w:rsidRPr="000161D1">
              <w:rPr>
                <w:rFonts w:ascii="宋体" w:hAnsi="宋体" w:hint="eastAsia"/>
                <w:sz w:val="24"/>
                <w:szCs w:val="18"/>
              </w:rPr>
              <w:t>基本内容</w:t>
            </w:r>
            <w:r w:rsidRPr="000161D1">
              <w:rPr>
                <w:rFonts w:ascii="宋体" w:hAnsi="宋体"/>
                <w:sz w:val="24"/>
                <w:szCs w:val="18"/>
              </w:rPr>
              <w:t>(300</w:t>
            </w:r>
            <w:r w:rsidRPr="000161D1">
              <w:rPr>
                <w:rFonts w:ascii="宋体" w:hAnsi="宋体" w:hint="eastAsia"/>
                <w:sz w:val="24"/>
                <w:szCs w:val="18"/>
              </w:rPr>
              <w:t>字以内</w:t>
            </w:r>
            <w:r w:rsidRPr="000161D1">
              <w:rPr>
                <w:rFonts w:ascii="宋体" w:hAnsi="宋体"/>
                <w:sz w:val="24"/>
                <w:szCs w:val="18"/>
              </w:rPr>
              <w:t>):</w:t>
            </w:r>
          </w:p>
          <w:p w:rsidR="00CE649B" w:rsidRPr="000161D1" w:rsidRDefault="00CE649B" w:rsidP="00CE649B">
            <w:pPr>
              <w:pStyle w:val="BodyTextIndent"/>
              <w:ind w:left="31680"/>
              <w:rPr>
                <w:rFonts w:ascii="宋体"/>
                <w:sz w:val="24"/>
                <w:szCs w:val="18"/>
              </w:rPr>
            </w:pPr>
            <w:r w:rsidRPr="000161D1">
              <w:rPr>
                <w:rFonts w:ascii="宋体" w:hAnsi="宋体" w:hint="eastAsia"/>
                <w:sz w:val="24"/>
                <w:szCs w:val="18"/>
              </w:rPr>
              <w:t>要求考生比较系统的掌握本课程的基本理论和学习方法，较系统的理解金属与合金的化学成分、结构、组织与性能之间的内在联系以及在各种材料热加工（铸、锻、热处理）条件下的变化规律，具有综合运用所学知识分析和解决问题的能力。</w:t>
            </w:r>
          </w:p>
          <w:p w:rsidR="00CE649B" w:rsidRDefault="00CE649B" w:rsidP="00CE649B">
            <w:pPr>
              <w:spacing w:line="288" w:lineRule="auto"/>
              <w:ind w:firstLineChars="200" w:firstLine="31680"/>
              <w:rPr>
                <w:rFonts w:ascii="宋体"/>
                <w:sz w:val="24"/>
                <w:szCs w:val="18"/>
              </w:rPr>
            </w:pPr>
            <w:r>
              <w:rPr>
                <w:rFonts w:ascii="宋体" w:hAnsi="宋体"/>
                <w:sz w:val="24"/>
                <w:szCs w:val="18"/>
              </w:rPr>
              <w:t>1</w:t>
            </w:r>
            <w:r>
              <w:rPr>
                <w:rFonts w:ascii="宋体" w:hAnsi="宋体" w:hint="eastAsia"/>
                <w:sz w:val="24"/>
                <w:szCs w:val="18"/>
              </w:rPr>
              <w:t>、金属与合金的晶体结构及晶体缺陷</w:t>
            </w:r>
          </w:p>
          <w:p w:rsidR="00CE649B" w:rsidRDefault="00CE649B" w:rsidP="00CE649B">
            <w:pPr>
              <w:spacing w:line="288" w:lineRule="auto"/>
              <w:ind w:firstLineChars="200" w:firstLine="31680"/>
              <w:rPr>
                <w:rFonts w:ascii="宋体"/>
                <w:sz w:val="24"/>
                <w:szCs w:val="18"/>
              </w:rPr>
            </w:pPr>
            <w:r>
              <w:rPr>
                <w:rFonts w:ascii="宋体" w:hAnsi="宋体"/>
                <w:sz w:val="24"/>
                <w:szCs w:val="18"/>
              </w:rPr>
              <w:t>2</w:t>
            </w:r>
            <w:r>
              <w:rPr>
                <w:rFonts w:ascii="宋体" w:hAnsi="宋体" w:hint="eastAsia"/>
                <w:sz w:val="24"/>
                <w:szCs w:val="18"/>
              </w:rPr>
              <w:t>、纯金属的结晶</w:t>
            </w:r>
          </w:p>
          <w:p w:rsidR="00CE649B" w:rsidRDefault="00CE649B" w:rsidP="00CE649B">
            <w:pPr>
              <w:spacing w:line="288" w:lineRule="auto"/>
              <w:ind w:firstLineChars="200" w:firstLine="31680"/>
              <w:rPr>
                <w:rFonts w:ascii="宋体"/>
                <w:sz w:val="24"/>
                <w:szCs w:val="18"/>
              </w:rPr>
            </w:pPr>
            <w:r>
              <w:rPr>
                <w:rFonts w:ascii="宋体" w:hAnsi="宋体"/>
                <w:sz w:val="24"/>
                <w:szCs w:val="18"/>
              </w:rPr>
              <w:t>3</w:t>
            </w:r>
            <w:r>
              <w:rPr>
                <w:rFonts w:ascii="宋体" w:hAnsi="宋体" w:hint="eastAsia"/>
                <w:sz w:val="24"/>
                <w:szCs w:val="18"/>
              </w:rPr>
              <w:t>、二元合金的相结构与结晶</w:t>
            </w:r>
          </w:p>
          <w:p w:rsidR="00CE649B" w:rsidRDefault="00CE649B" w:rsidP="00CE649B">
            <w:pPr>
              <w:spacing w:line="288" w:lineRule="auto"/>
              <w:ind w:firstLineChars="200" w:firstLine="31680"/>
              <w:rPr>
                <w:rFonts w:ascii="宋体"/>
                <w:sz w:val="24"/>
                <w:szCs w:val="18"/>
              </w:rPr>
            </w:pPr>
            <w:r>
              <w:rPr>
                <w:rFonts w:ascii="宋体" w:hAnsi="宋体"/>
                <w:sz w:val="24"/>
                <w:szCs w:val="18"/>
              </w:rPr>
              <w:t>4</w:t>
            </w:r>
            <w:r>
              <w:rPr>
                <w:rFonts w:ascii="宋体" w:hAnsi="宋体" w:hint="eastAsia"/>
                <w:sz w:val="24"/>
                <w:szCs w:val="18"/>
              </w:rPr>
              <w:t>、铁碳合金</w:t>
            </w:r>
          </w:p>
          <w:p w:rsidR="00CE649B" w:rsidRDefault="00CE649B" w:rsidP="00CE649B">
            <w:pPr>
              <w:spacing w:line="288" w:lineRule="auto"/>
              <w:ind w:firstLineChars="200" w:firstLine="31680"/>
              <w:rPr>
                <w:rFonts w:ascii="宋体"/>
                <w:sz w:val="24"/>
                <w:szCs w:val="18"/>
              </w:rPr>
            </w:pPr>
            <w:r>
              <w:rPr>
                <w:rFonts w:ascii="宋体" w:hAnsi="宋体"/>
                <w:sz w:val="24"/>
                <w:szCs w:val="18"/>
              </w:rPr>
              <w:t>5</w:t>
            </w:r>
            <w:r>
              <w:rPr>
                <w:rFonts w:ascii="宋体" w:hAnsi="宋体" w:hint="eastAsia"/>
                <w:sz w:val="24"/>
                <w:szCs w:val="18"/>
              </w:rPr>
              <w:t>、三元合金相图</w:t>
            </w:r>
          </w:p>
          <w:p w:rsidR="00CE649B" w:rsidRDefault="00CE649B" w:rsidP="00CE649B">
            <w:pPr>
              <w:spacing w:line="288" w:lineRule="auto"/>
              <w:ind w:firstLineChars="200" w:firstLine="31680"/>
              <w:rPr>
                <w:rFonts w:ascii="宋体"/>
                <w:sz w:val="24"/>
                <w:szCs w:val="18"/>
              </w:rPr>
            </w:pPr>
            <w:r>
              <w:rPr>
                <w:rFonts w:ascii="宋体" w:hAnsi="宋体"/>
                <w:sz w:val="24"/>
                <w:szCs w:val="18"/>
              </w:rPr>
              <w:t>6</w:t>
            </w:r>
            <w:r>
              <w:rPr>
                <w:rFonts w:ascii="宋体" w:hAnsi="宋体" w:hint="eastAsia"/>
                <w:sz w:val="24"/>
                <w:szCs w:val="18"/>
              </w:rPr>
              <w:t>、金属的塑性变形</w:t>
            </w:r>
          </w:p>
          <w:p w:rsidR="00CE649B" w:rsidRDefault="00CE649B" w:rsidP="00CE649B">
            <w:pPr>
              <w:spacing w:line="288" w:lineRule="auto"/>
              <w:ind w:firstLineChars="200" w:firstLine="31680"/>
              <w:rPr>
                <w:rFonts w:ascii="宋体"/>
                <w:sz w:val="24"/>
                <w:szCs w:val="18"/>
              </w:rPr>
            </w:pPr>
            <w:r>
              <w:rPr>
                <w:rFonts w:ascii="宋体" w:hAnsi="宋体"/>
                <w:sz w:val="24"/>
                <w:szCs w:val="18"/>
              </w:rPr>
              <w:t>7</w:t>
            </w:r>
            <w:r>
              <w:rPr>
                <w:rFonts w:ascii="宋体" w:hAnsi="宋体" w:hint="eastAsia"/>
                <w:sz w:val="24"/>
                <w:szCs w:val="18"/>
              </w:rPr>
              <w:t>、金属的回复与再结晶</w:t>
            </w:r>
          </w:p>
          <w:p w:rsidR="00CE649B" w:rsidRDefault="00CE649B" w:rsidP="00CE649B">
            <w:pPr>
              <w:spacing w:line="288" w:lineRule="auto"/>
              <w:ind w:firstLineChars="200" w:firstLine="31680"/>
              <w:rPr>
                <w:rFonts w:ascii="宋体"/>
                <w:sz w:val="24"/>
                <w:szCs w:val="18"/>
              </w:rPr>
            </w:pPr>
            <w:r>
              <w:rPr>
                <w:rFonts w:ascii="宋体" w:hAnsi="宋体"/>
                <w:sz w:val="24"/>
                <w:szCs w:val="18"/>
              </w:rPr>
              <w:t>8</w:t>
            </w:r>
            <w:r>
              <w:rPr>
                <w:rFonts w:ascii="宋体" w:hAnsi="宋体" w:hint="eastAsia"/>
                <w:sz w:val="24"/>
                <w:szCs w:val="18"/>
              </w:rPr>
              <w:t>、钢的热处理原理：钢的加热相变理论、钢的冷却相变理论、回火转变理论</w:t>
            </w:r>
          </w:p>
          <w:p w:rsidR="00CE649B" w:rsidRPr="000161D1" w:rsidRDefault="00CE649B" w:rsidP="00CE649B">
            <w:pPr>
              <w:spacing w:line="288" w:lineRule="auto"/>
              <w:ind w:firstLineChars="200" w:firstLine="31680"/>
              <w:rPr>
                <w:rFonts w:ascii="宋体"/>
                <w:sz w:val="24"/>
                <w:szCs w:val="18"/>
              </w:rPr>
            </w:pPr>
            <w:r>
              <w:rPr>
                <w:rFonts w:ascii="宋体" w:hAnsi="宋体"/>
                <w:sz w:val="24"/>
                <w:szCs w:val="18"/>
              </w:rPr>
              <w:t>9</w:t>
            </w:r>
            <w:r>
              <w:rPr>
                <w:rFonts w:ascii="宋体" w:hAnsi="宋体" w:hint="eastAsia"/>
                <w:sz w:val="24"/>
                <w:szCs w:val="18"/>
              </w:rPr>
              <w:t>、钢的热处理工艺</w:t>
            </w:r>
          </w:p>
          <w:p w:rsidR="00CE649B" w:rsidRPr="000161D1" w:rsidRDefault="00CE649B" w:rsidP="00131E9D">
            <w:pPr>
              <w:spacing w:beforeLines="50" w:line="288" w:lineRule="auto"/>
              <w:rPr>
                <w:rFonts w:ascii="宋体"/>
                <w:sz w:val="24"/>
                <w:szCs w:val="18"/>
              </w:rPr>
            </w:pPr>
          </w:p>
          <w:p w:rsidR="00CE649B" w:rsidRPr="000161D1" w:rsidRDefault="00CE649B" w:rsidP="000F04BA">
            <w:pPr>
              <w:spacing w:line="288" w:lineRule="auto"/>
              <w:rPr>
                <w:rFonts w:ascii="宋体"/>
                <w:sz w:val="24"/>
                <w:szCs w:val="18"/>
              </w:rPr>
            </w:pPr>
          </w:p>
          <w:p w:rsidR="00CE649B" w:rsidRPr="000161D1" w:rsidRDefault="00CE649B" w:rsidP="00CE649B">
            <w:pPr>
              <w:spacing w:line="288" w:lineRule="auto"/>
              <w:ind w:firstLineChars="200" w:firstLine="31680"/>
              <w:rPr>
                <w:rFonts w:ascii="宋体"/>
                <w:sz w:val="24"/>
                <w:szCs w:val="18"/>
              </w:rPr>
            </w:pPr>
          </w:p>
        </w:tc>
      </w:tr>
      <w:tr w:rsidR="00CE649B" w:rsidTr="000F04BA">
        <w:trPr>
          <w:trHeight w:val="931"/>
          <w:jc w:val="center"/>
        </w:trPr>
        <w:tc>
          <w:tcPr>
            <w:tcW w:w="9000" w:type="dxa"/>
            <w:vAlign w:val="center"/>
          </w:tcPr>
          <w:p w:rsidR="00CE649B" w:rsidRDefault="00CE649B" w:rsidP="000F04BA">
            <w:pPr>
              <w:spacing w:line="288" w:lineRule="auto"/>
              <w:rPr>
                <w:rFonts w:ascii="宋体"/>
                <w:sz w:val="24"/>
              </w:rPr>
            </w:pPr>
          </w:p>
          <w:p w:rsidR="00CE649B" w:rsidRDefault="00CE649B" w:rsidP="000F04BA">
            <w:pPr>
              <w:spacing w:line="288" w:lineRule="auto"/>
              <w:rPr>
                <w:rFonts w:ascii="宋体"/>
                <w:sz w:val="24"/>
              </w:rPr>
            </w:pPr>
            <w:r>
              <w:rPr>
                <w:rFonts w:ascii="宋体" w:hAnsi="宋体" w:hint="eastAsia"/>
                <w:sz w:val="24"/>
              </w:rPr>
              <w:t>参考书目</w:t>
            </w:r>
            <w:r>
              <w:rPr>
                <w:rFonts w:ascii="宋体" w:hAnsi="宋体"/>
                <w:sz w:val="24"/>
              </w:rPr>
              <w:t>(</w:t>
            </w:r>
            <w:r>
              <w:rPr>
                <w:rFonts w:ascii="宋体" w:hAnsi="宋体" w:hint="eastAsia"/>
                <w:sz w:val="24"/>
              </w:rPr>
              <w:t>须与专业目录一致</w:t>
            </w:r>
            <w:r>
              <w:rPr>
                <w:rFonts w:ascii="宋体" w:hAnsi="宋体"/>
                <w:sz w:val="24"/>
              </w:rPr>
              <w:t>)(</w:t>
            </w:r>
            <w:r>
              <w:rPr>
                <w:rFonts w:ascii="宋体" w:hAnsi="宋体" w:hint="eastAsia"/>
                <w:sz w:val="24"/>
              </w:rPr>
              <w:t>包括作者、书目、出版社、出版时间、版次</w:t>
            </w:r>
            <w:r>
              <w:rPr>
                <w:rFonts w:ascii="宋体" w:hAnsi="宋体"/>
                <w:sz w:val="24"/>
              </w:rPr>
              <w:t>)</w:t>
            </w:r>
            <w:r>
              <w:rPr>
                <w:rFonts w:ascii="宋体" w:hAnsi="宋体" w:hint="eastAsia"/>
                <w:sz w:val="24"/>
              </w:rPr>
              <w:t>：</w:t>
            </w:r>
          </w:p>
          <w:p w:rsidR="00CE649B" w:rsidRDefault="00CE649B" w:rsidP="00CE649B">
            <w:pPr>
              <w:spacing w:line="288" w:lineRule="auto"/>
              <w:ind w:firstLineChars="200" w:firstLine="31680"/>
              <w:rPr>
                <w:rFonts w:ascii="宋体"/>
                <w:sz w:val="24"/>
                <w:szCs w:val="18"/>
              </w:rPr>
            </w:pPr>
            <w:r>
              <w:rPr>
                <w:rFonts w:ascii="宋体" w:hAnsi="宋体" w:hint="eastAsia"/>
                <w:sz w:val="24"/>
                <w:szCs w:val="18"/>
              </w:rPr>
              <w:t>崔忠圻</w:t>
            </w:r>
            <w:r>
              <w:rPr>
                <w:rFonts w:hint="eastAsia"/>
                <w:sz w:val="24"/>
              </w:rPr>
              <w:t>．</w:t>
            </w:r>
            <w:r>
              <w:rPr>
                <w:rFonts w:ascii="宋体" w:hAnsi="宋体" w:hint="eastAsia"/>
                <w:sz w:val="24"/>
                <w:szCs w:val="18"/>
              </w:rPr>
              <w:t>金属学与热处理</w:t>
            </w:r>
            <w:r>
              <w:rPr>
                <w:rFonts w:hint="eastAsia"/>
                <w:sz w:val="24"/>
              </w:rPr>
              <w:t>．</w:t>
            </w:r>
            <w:r>
              <w:rPr>
                <w:rFonts w:ascii="宋体" w:hAnsi="宋体" w:hint="eastAsia"/>
                <w:sz w:val="24"/>
                <w:szCs w:val="18"/>
              </w:rPr>
              <w:t>机械工业出版社，</w:t>
            </w:r>
            <w:r>
              <w:rPr>
                <w:rFonts w:ascii="宋体" w:hAnsi="宋体"/>
                <w:sz w:val="24"/>
                <w:szCs w:val="18"/>
              </w:rPr>
              <w:t>1998</w:t>
            </w:r>
          </w:p>
          <w:p w:rsidR="00CE649B" w:rsidRDefault="00CE649B" w:rsidP="000F04BA">
            <w:pPr>
              <w:spacing w:line="288" w:lineRule="auto"/>
              <w:rPr>
                <w:rFonts w:ascii="宋体"/>
                <w:sz w:val="24"/>
              </w:rPr>
            </w:pPr>
          </w:p>
        </w:tc>
      </w:tr>
    </w:tbl>
    <w:p w:rsidR="00CE649B" w:rsidRDefault="00CE649B" w:rsidP="00432695">
      <w:pPr>
        <w:spacing w:line="288" w:lineRule="auto"/>
      </w:pPr>
    </w:p>
    <w:p w:rsidR="00CE649B" w:rsidRDefault="00CE649B" w:rsidP="00432695">
      <w:pPr>
        <w:pStyle w:val="BodyText"/>
        <w:rPr>
          <w:sz w:val="21"/>
          <w:szCs w:val="21"/>
        </w:rPr>
      </w:pPr>
      <w:r>
        <w:rPr>
          <w:rFonts w:eastAsia="黑体" w:hint="eastAsia"/>
          <w:b/>
          <w:sz w:val="21"/>
        </w:rPr>
        <w:t>说明：</w:t>
      </w:r>
      <w:r>
        <w:rPr>
          <w:sz w:val="21"/>
          <w:szCs w:val="21"/>
        </w:rPr>
        <w:t>1</w:t>
      </w:r>
      <w:r>
        <w:rPr>
          <w:rFonts w:hint="eastAsia"/>
          <w:sz w:val="21"/>
          <w:szCs w:val="21"/>
        </w:rPr>
        <w:t>、考试基本内容：一般包括基础理论、实际知识、综合分析和论证等几个方面的内容。有些课程还应有基本运算和实验方法等方面的内容。字数一般在</w:t>
      </w:r>
      <w:r>
        <w:rPr>
          <w:sz w:val="21"/>
          <w:szCs w:val="21"/>
        </w:rPr>
        <w:t>300</w:t>
      </w:r>
      <w:r>
        <w:rPr>
          <w:rFonts w:hint="eastAsia"/>
          <w:sz w:val="21"/>
          <w:szCs w:val="21"/>
        </w:rPr>
        <w:t>字左右。</w:t>
      </w:r>
    </w:p>
    <w:p w:rsidR="00CE649B" w:rsidRDefault="00CE649B" w:rsidP="00432695">
      <w:pPr>
        <w:rPr>
          <w:szCs w:val="21"/>
        </w:rPr>
      </w:pPr>
      <w:r>
        <w:rPr>
          <w:szCs w:val="21"/>
        </w:rPr>
        <w:t>2</w:t>
      </w:r>
      <w:r>
        <w:rPr>
          <w:rFonts w:hint="eastAsia"/>
          <w:szCs w:val="21"/>
        </w:rPr>
        <w:t>、难易程度：根据大学本科的教学大纲和本学科、专业的基本要求，一般应使大学本科毕业生中优秀学生在规定的三个小时内答完全部考题，略有一些时间进行检查和思考。排序从易到难。</w:t>
      </w:r>
    </w:p>
    <w:p w:rsidR="00CE649B" w:rsidRPr="00432695" w:rsidRDefault="00CE649B" w:rsidP="00432695"/>
    <w:sectPr w:rsidR="00CE649B" w:rsidRPr="00432695" w:rsidSect="003776F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80977"/>
    <w:multiLevelType w:val="hybridMultilevel"/>
    <w:tmpl w:val="A2B6B62E"/>
    <w:lvl w:ilvl="0" w:tplc="A74488E0">
      <w:start w:val="1"/>
      <w:numFmt w:val="decimal"/>
      <w:lvlText w:val="%1．"/>
      <w:lvlJc w:val="left"/>
      <w:pPr>
        <w:tabs>
          <w:tab w:val="num" w:pos="360"/>
        </w:tabs>
        <w:ind w:left="360" w:hanging="360"/>
      </w:pPr>
      <w:rPr>
        <w:rFonts w:cs="Times New Roman" w:hint="default"/>
        <w:sz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51091B4C"/>
    <w:multiLevelType w:val="hybridMultilevel"/>
    <w:tmpl w:val="B460757E"/>
    <w:lvl w:ilvl="0" w:tplc="43B60F48">
      <w:start w:val="1"/>
      <w:numFmt w:val="japaneseCounting"/>
      <w:lvlText w:val="%1、"/>
      <w:lvlJc w:val="left"/>
      <w:pPr>
        <w:tabs>
          <w:tab w:val="num" w:pos="960"/>
        </w:tabs>
        <w:ind w:left="960" w:hanging="48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nsid w:val="61844115"/>
    <w:multiLevelType w:val="hybridMultilevel"/>
    <w:tmpl w:val="1FCE74B2"/>
    <w:lvl w:ilvl="0" w:tplc="0409000B">
      <w:start w:val="1"/>
      <w:numFmt w:val="bullet"/>
      <w:lvlText w:val=""/>
      <w:lvlJc w:val="left"/>
      <w:pPr>
        <w:tabs>
          <w:tab w:val="num" w:pos="855"/>
        </w:tabs>
        <w:ind w:left="855" w:hanging="420"/>
      </w:pPr>
      <w:rPr>
        <w:rFonts w:ascii="Wingdings" w:hAnsi="Wingdings" w:hint="default"/>
      </w:rPr>
    </w:lvl>
    <w:lvl w:ilvl="1" w:tplc="04090003" w:tentative="1">
      <w:start w:val="1"/>
      <w:numFmt w:val="bullet"/>
      <w:lvlText w:val=""/>
      <w:lvlJc w:val="left"/>
      <w:pPr>
        <w:tabs>
          <w:tab w:val="num" w:pos="1275"/>
        </w:tabs>
        <w:ind w:left="1275" w:hanging="420"/>
      </w:pPr>
      <w:rPr>
        <w:rFonts w:ascii="Wingdings" w:hAnsi="Wingdings" w:hint="default"/>
      </w:rPr>
    </w:lvl>
    <w:lvl w:ilvl="2" w:tplc="04090005" w:tentative="1">
      <w:start w:val="1"/>
      <w:numFmt w:val="bullet"/>
      <w:lvlText w:val=""/>
      <w:lvlJc w:val="left"/>
      <w:pPr>
        <w:tabs>
          <w:tab w:val="num" w:pos="1695"/>
        </w:tabs>
        <w:ind w:left="1695" w:hanging="420"/>
      </w:pPr>
      <w:rPr>
        <w:rFonts w:ascii="Wingdings" w:hAnsi="Wingdings" w:hint="default"/>
      </w:rPr>
    </w:lvl>
    <w:lvl w:ilvl="3" w:tplc="04090001" w:tentative="1">
      <w:start w:val="1"/>
      <w:numFmt w:val="bullet"/>
      <w:lvlText w:val=""/>
      <w:lvlJc w:val="left"/>
      <w:pPr>
        <w:tabs>
          <w:tab w:val="num" w:pos="2115"/>
        </w:tabs>
        <w:ind w:left="2115" w:hanging="420"/>
      </w:pPr>
      <w:rPr>
        <w:rFonts w:ascii="Wingdings" w:hAnsi="Wingdings" w:hint="default"/>
      </w:rPr>
    </w:lvl>
    <w:lvl w:ilvl="4" w:tplc="04090003" w:tentative="1">
      <w:start w:val="1"/>
      <w:numFmt w:val="bullet"/>
      <w:lvlText w:val=""/>
      <w:lvlJc w:val="left"/>
      <w:pPr>
        <w:tabs>
          <w:tab w:val="num" w:pos="2535"/>
        </w:tabs>
        <w:ind w:left="2535" w:hanging="420"/>
      </w:pPr>
      <w:rPr>
        <w:rFonts w:ascii="Wingdings" w:hAnsi="Wingdings" w:hint="default"/>
      </w:rPr>
    </w:lvl>
    <w:lvl w:ilvl="5" w:tplc="04090005" w:tentative="1">
      <w:start w:val="1"/>
      <w:numFmt w:val="bullet"/>
      <w:lvlText w:val=""/>
      <w:lvlJc w:val="left"/>
      <w:pPr>
        <w:tabs>
          <w:tab w:val="num" w:pos="2955"/>
        </w:tabs>
        <w:ind w:left="2955" w:hanging="420"/>
      </w:pPr>
      <w:rPr>
        <w:rFonts w:ascii="Wingdings" w:hAnsi="Wingdings" w:hint="default"/>
      </w:rPr>
    </w:lvl>
    <w:lvl w:ilvl="6" w:tplc="04090001" w:tentative="1">
      <w:start w:val="1"/>
      <w:numFmt w:val="bullet"/>
      <w:lvlText w:val=""/>
      <w:lvlJc w:val="left"/>
      <w:pPr>
        <w:tabs>
          <w:tab w:val="num" w:pos="3375"/>
        </w:tabs>
        <w:ind w:left="3375" w:hanging="420"/>
      </w:pPr>
      <w:rPr>
        <w:rFonts w:ascii="Wingdings" w:hAnsi="Wingdings" w:hint="default"/>
      </w:rPr>
    </w:lvl>
    <w:lvl w:ilvl="7" w:tplc="04090003" w:tentative="1">
      <w:start w:val="1"/>
      <w:numFmt w:val="bullet"/>
      <w:lvlText w:val=""/>
      <w:lvlJc w:val="left"/>
      <w:pPr>
        <w:tabs>
          <w:tab w:val="num" w:pos="3795"/>
        </w:tabs>
        <w:ind w:left="3795" w:hanging="420"/>
      </w:pPr>
      <w:rPr>
        <w:rFonts w:ascii="Wingdings" w:hAnsi="Wingdings" w:hint="default"/>
      </w:rPr>
    </w:lvl>
    <w:lvl w:ilvl="8" w:tplc="04090005" w:tentative="1">
      <w:start w:val="1"/>
      <w:numFmt w:val="bullet"/>
      <w:lvlText w:val=""/>
      <w:lvlJc w:val="left"/>
      <w:pPr>
        <w:tabs>
          <w:tab w:val="num" w:pos="4215"/>
        </w:tabs>
        <w:ind w:left="4215" w:hanging="420"/>
      </w:pPr>
      <w:rPr>
        <w:rFonts w:ascii="Wingdings" w:hAnsi="Wingdings" w:hint="default"/>
      </w:rPr>
    </w:lvl>
  </w:abstractNum>
  <w:abstractNum w:abstractNumId="3">
    <w:nsid w:val="78AE7C09"/>
    <w:multiLevelType w:val="hybridMultilevel"/>
    <w:tmpl w:val="2CBEC26C"/>
    <w:lvl w:ilvl="0" w:tplc="321E152A">
      <w:start w:val="1"/>
      <w:numFmt w:val="decimal"/>
      <w:lvlText w:val="%1．"/>
      <w:lvlJc w:val="left"/>
      <w:pPr>
        <w:tabs>
          <w:tab w:val="num" w:pos="540"/>
        </w:tabs>
        <w:ind w:left="540" w:hanging="360"/>
      </w:pPr>
      <w:rPr>
        <w:rFonts w:cs="Times New Roman" w:hint="default"/>
        <w:sz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666E"/>
    <w:rsid w:val="000161D1"/>
    <w:rsid w:val="000F04BA"/>
    <w:rsid w:val="00131E9D"/>
    <w:rsid w:val="003776F8"/>
    <w:rsid w:val="00432695"/>
    <w:rsid w:val="00451835"/>
    <w:rsid w:val="004B27A7"/>
    <w:rsid w:val="007C68B2"/>
    <w:rsid w:val="00A40B72"/>
    <w:rsid w:val="00C9666E"/>
    <w:rsid w:val="00CE649B"/>
    <w:rsid w:val="00E9432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66E"/>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C9666E"/>
    <w:rPr>
      <w:sz w:val="18"/>
      <w:szCs w:val="20"/>
    </w:rPr>
  </w:style>
  <w:style w:type="character" w:customStyle="1" w:styleId="BodyTextChar">
    <w:name w:val="Body Text Char"/>
    <w:basedOn w:val="DefaultParagraphFont"/>
    <w:link w:val="BodyText"/>
    <w:uiPriority w:val="99"/>
    <w:locked/>
    <w:rsid w:val="00C9666E"/>
    <w:rPr>
      <w:rFonts w:ascii="Times New Roman" w:eastAsia="宋体" w:hAnsi="Times New Roman" w:cs="Times New Roman"/>
      <w:sz w:val="20"/>
      <w:szCs w:val="20"/>
    </w:rPr>
  </w:style>
  <w:style w:type="paragraph" w:styleId="BodyTextIndent">
    <w:name w:val="Body Text Indent"/>
    <w:basedOn w:val="Normal"/>
    <w:link w:val="BodyTextIndentChar"/>
    <w:uiPriority w:val="99"/>
    <w:rsid w:val="00432695"/>
    <w:pPr>
      <w:spacing w:after="120"/>
      <w:ind w:leftChars="200" w:left="420"/>
    </w:pPr>
  </w:style>
  <w:style w:type="character" w:customStyle="1" w:styleId="BodyTextIndentChar">
    <w:name w:val="Body Text Indent Char"/>
    <w:basedOn w:val="DefaultParagraphFont"/>
    <w:link w:val="BodyTextIndent"/>
    <w:uiPriority w:val="99"/>
    <w:locked/>
    <w:rsid w:val="00432695"/>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81</Words>
  <Characters>463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3</cp:revision>
  <dcterms:created xsi:type="dcterms:W3CDTF">2015-09-01T06:45:00Z</dcterms:created>
  <dcterms:modified xsi:type="dcterms:W3CDTF">2016-09-07T01:59:00Z</dcterms:modified>
</cp:coreProperties>
</file>